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E46E1" w14:textId="77777777" w:rsidR="0072751D" w:rsidRDefault="00242655">
      <w:pPr>
        <w:spacing w:line="259" w:lineRule="auto"/>
        <w:jc w:val="center"/>
        <w:rPr>
          <w:b/>
        </w:rPr>
      </w:pPr>
      <w:r>
        <w:rPr>
          <w:b/>
        </w:rPr>
        <w:t>UAE CONTADURÍA GENERAL DE LA NACIÓN</w:t>
      </w:r>
    </w:p>
    <w:p w14:paraId="72E1E174" w14:textId="77777777" w:rsidR="0072751D" w:rsidRDefault="0072751D">
      <w:pPr>
        <w:spacing w:line="259" w:lineRule="auto"/>
        <w:jc w:val="center"/>
        <w:rPr>
          <w:b/>
        </w:rPr>
      </w:pPr>
    </w:p>
    <w:p w14:paraId="5E93166D" w14:textId="77777777" w:rsidR="0072751D" w:rsidRDefault="00242655">
      <w:pPr>
        <w:spacing w:line="259" w:lineRule="auto"/>
        <w:jc w:val="center"/>
        <w:rPr>
          <w:b/>
        </w:rPr>
      </w:pPr>
      <w:r>
        <w:rPr>
          <w:b/>
        </w:rPr>
        <w:t>CLAUSULADO ADICIONAL</w:t>
      </w:r>
    </w:p>
    <w:p w14:paraId="4BD04B1C" w14:textId="77777777" w:rsidR="0072751D" w:rsidRDefault="0072751D">
      <w:pPr>
        <w:spacing w:line="259" w:lineRule="auto"/>
        <w:jc w:val="center"/>
        <w:rPr>
          <w:b/>
        </w:rPr>
      </w:pPr>
    </w:p>
    <w:p w14:paraId="10DE4026" w14:textId="7E0E5745" w:rsidR="0072751D" w:rsidRDefault="00242655">
      <w:pPr>
        <w:spacing w:line="259" w:lineRule="auto"/>
        <w:jc w:val="center"/>
        <w:rPr>
          <w:b/>
          <w:i/>
        </w:rPr>
      </w:pPr>
      <w:r>
        <w:rPr>
          <w:b/>
        </w:rPr>
        <w:t>CONTRATO</w:t>
      </w:r>
      <w:r w:rsidR="00B90650">
        <w:rPr>
          <w:b/>
        </w:rPr>
        <w:t xml:space="preserve">: </w:t>
      </w:r>
      <w:r w:rsidR="00B90650" w:rsidRPr="00B90650">
        <w:rPr>
          <w:b/>
          <w:color w:val="FF0000"/>
        </w:rPr>
        <w:t>(</w:t>
      </w:r>
      <w:r w:rsidR="00C311C3">
        <w:rPr>
          <w:b/>
          <w:color w:val="FF0000"/>
        </w:rPr>
        <w:t>d</w:t>
      </w:r>
      <w:r w:rsidR="00B90650" w:rsidRPr="00B90650">
        <w:rPr>
          <w:b/>
          <w:color w:val="FF0000"/>
        </w:rPr>
        <w:t>iligenci</w:t>
      </w:r>
      <w:r w:rsidR="00C311C3">
        <w:rPr>
          <w:b/>
          <w:color w:val="FF0000"/>
        </w:rPr>
        <w:t>e</w:t>
      </w:r>
      <w:r w:rsidR="00B90650" w:rsidRPr="00B90650">
        <w:rPr>
          <w:b/>
          <w:color w:val="FF0000"/>
        </w:rPr>
        <w:t xml:space="preserve"> el consecutivo asignado)</w:t>
      </w:r>
      <w:r w:rsidRPr="00B90650">
        <w:rPr>
          <w:b/>
          <w:color w:val="FF0000"/>
        </w:rPr>
        <w:t xml:space="preserve"> </w:t>
      </w:r>
      <w:r>
        <w:rPr>
          <w:b/>
        </w:rPr>
        <w:t xml:space="preserve">– CONTRATISTA: </w:t>
      </w:r>
      <w:r w:rsidR="00B90650" w:rsidRPr="00B90650">
        <w:rPr>
          <w:b/>
          <w:color w:val="FF0000"/>
        </w:rPr>
        <w:t>(</w:t>
      </w:r>
      <w:r w:rsidR="00C311C3">
        <w:rPr>
          <w:b/>
          <w:color w:val="FF0000"/>
        </w:rPr>
        <w:t>d</w:t>
      </w:r>
      <w:r w:rsidR="00B90650" w:rsidRPr="00B90650">
        <w:rPr>
          <w:b/>
          <w:color w:val="FF0000"/>
        </w:rPr>
        <w:t>iligenci</w:t>
      </w:r>
      <w:r w:rsidR="00C311C3">
        <w:rPr>
          <w:b/>
          <w:color w:val="FF0000"/>
        </w:rPr>
        <w:t>e</w:t>
      </w:r>
      <w:r w:rsidR="00B90650" w:rsidRPr="00B90650">
        <w:rPr>
          <w:b/>
          <w:color w:val="FF0000"/>
        </w:rPr>
        <w:t xml:space="preserve"> la razón social del proveedor)</w:t>
      </w:r>
      <w:r>
        <w:rPr>
          <w:b/>
        </w:rPr>
        <w:t xml:space="preserve"> IDENTIFICAD</w:t>
      </w:r>
      <w:r w:rsidR="00C311C3">
        <w:rPr>
          <w:b/>
        </w:rPr>
        <w:t>O (A)</w:t>
      </w:r>
      <w:r>
        <w:rPr>
          <w:b/>
        </w:rPr>
        <w:t xml:space="preserve"> CON</w:t>
      </w:r>
      <w:r w:rsidR="00C311C3">
        <w:rPr>
          <w:b/>
        </w:rPr>
        <w:t xml:space="preserve"> EL</w:t>
      </w:r>
      <w:r>
        <w:rPr>
          <w:b/>
        </w:rPr>
        <w:t xml:space="preserve"> NIT</w:t>
      </w:r>
      <w:r w:rsidR="00B90650">
        <w:rPr>
          <w:b/>
        </w:rPr>
        <w:t xml:space="preserve"> No</w:t>
      </w:r>
      <w:r>
        <w:rPr>
          <w:b/>
        </w:rPr>
        <w:t xml:space="preserve">. </w:t>
      </w:r>
      <w:r w:rsidR="00B90650" w:rsidRPr="00B90650">
        <w:rPr>
          <w:b/>
          <w:color w:val="FF0000"/>
        </w:rPr>
        <w:t>(</w:t>
      </w:r>
      <w:r w:rsidR="00C311C3">
        <w:rPr>
          <w:b/>
          <w:color w:val="FF0000"/>
        </w:rPr>
        <w:t>d</w:t>
      </w:r>
      <w:r w:rsidR="00B90650" w:rsidRPr="00B90650">
        <w:rPr>
          <w:b/>
          <w:color w:val="FF0000"/>
        </w:rPr>
        <w:t>iligenci</w:t>
      </w:r>
      <w:r w:rsidR="00C311C3">
        <w:rPr>
          <w:b/>
          <w:color w:val="FF0000"/>
        </w:rPr>
        <w:t>e</w:t>
      </w:r>
      <w:r w:rsidR="00B90650" w:rsidRPr="00B90650">
        <w:rPr>
          <w:b/>
          <w:color w:val="FF0000"/>
        </w:rPr>
        <w:t xml:space="preserve"> </w:t>
      </w:r>
      <w:r w:rsidR="00C311C3">
        <w:rPr>
          <w:b/>
          <w:color w:val="FF0000"/>
        </w:rPr>
        <w:t xml:space="preserve">el </w:t>
      </w:r>
      <w:r w:rsidR="00B90650" w:rsidRPr="00B90650">
        <w:rPr>
          <w:b/>
          <w:color w:val="FF0000"/>
        </w:rPr>
        <w:t>número)</w:t>
      </w:r>
      <w:r w:rsidRPr="00B90650">
        <w:rPr>
          <w:b/>
          <w:color w:val="FF0000"/>
        </w:rPr>
        <w:t xml:space="preserve">, </w:t>
      </w:r>
      <w:r>
        <w:rPr>
          <w:b/>
        </w:rPr>
        <w:t>REPRESENTAD</w:t>
      </w:r>
      <w:r w:rsidR="00C311C3">
        <w:rPr>
          <w:b/>
        </w:rPr>
        <w:t>O (A)</w:t>
      </w:r>
      <w:r>
        <w:rPr>
          <w:b/>
        </w:rPr>
        <w:t xml:space="preserve"> LEGALMENTE POR EL</w:t>
      </w:r>
      <w:r w:rsidR="00C311C3">
        <w:rPr>
          <w:b/>
        </w:rPr>
        <w:t xml:space="preserve"> </w:t>
      </w:r>
      <w:r w:rsidR="00B90650">
        <w:rPr>
          <w:b/>
        </w:rPr>
        <w:t>(</w:t>
      </w:r>
      <w:r w:rsidR="00C311C3">
        <w:rPr>
          <w:b/>
        </w:rPr>
        <w:t>L</w:t>
      </w:r>
      <w:r w:rsidR="00B90650">
        <w:rPr>
          <w:b/>
        </w:rPr>
        <w:t>A)</w:t>
      </w:r>
      <w:r>
        <w:rPr>
          <w:b/>
        </w:rPr>
        <w:t xml:space="preserve"> SEÑOR</w:t>
      </w:r>
      <w:r w:rsidR="00B90650">
        <w:rPr>
          <w:b/>
        </w:rPr>
        <w:t xml:space="preserve"> (A)</w:t>
      </w:r>
      <w:r>
        <w:rPr>
          <w:b/>
        </w:rPr>
        <w:t xml:space="preserve"> </w:t>
      </w:r>
      <w:r w:rsidR="00B90650" w:rsidRPr="00B90650">
        <w:rPr>
          <w:b/>
          <w:color w:val="FF0000"/>
        </w:rPr>
        <w:t>(</w:t>
      </w:r>
      <w:r w:rsidR="00C311C3">
        <w:rPr>
          <w:b/>
          <w:color w:val="FF0000"/>
        </w:rPr>
        <w:t>d</w:t>
      </w:r>
      <w:r w:rsidR="00B90650" w:rsidRPr="00B90650">
        <w:rPr>
          <w:b/>
          <w:color w:val="FF0000"/>
        </w:rPr>
        <w:t>iligencie el nombre del R.L</w:t>
      </w:r>
      <w:r w:rsidR="00C311C3">
        <w:rPr>
          <w:b/>
          <w:color w:val="FF0000"/>
        </w:rPr>
        <w:t>.</w:t>
      </w:r>
      <w:r w:rsidR="00B90650" w:rsidRPr="00B90650">
        <w:rPr>
          <w:b/>
          <w:color w:val="FF0000"/>
        </w:rPr>
        <w:t xml:space="preserve"> del proveedor)</w:t>
      </w:r>
      <w:r>
        <w:rPr>
          <w:b/>
        </w:rPr>
        <w:t>, IDENTIFICADO</w:t>
      </w:r>
      <w:r w:rsidR="00B90650">
        <w:rPr>
          <w:b/>
        </w:rPr>
        <w:t xml:space="preserve"> (A)</w:t>
      </w:r>
      <w:r>
        <w:rPr>
          <w:b/>
        </w:rPr>
        <w:t xml:space="preserve"> CON LA CÉDULA DE CIUDADANÍA NÚMERO </w:t>
      </w:r>
      <w:r w:rsidR="00B90650" w:rsidRPr="00B90650">
        <w:rPr>
          <w:b/>
          <w:color w:val="FF0000"/>
        </w:rPr>
        <w:t>(</w:t>
      </w:r>
      <w:r w:rsidR="00C311C3">
        <w:rPr>
          <w:b/>
          <w:color w:val="FF0000"/>
        </w:rPr>
        <w:t>d</w:t>
      </w:r>
      <w:r w:rsidR="00B90650" w:rsidRPr="00B90650">
        <w:rPr>
          <w:b/>
          <w:color w:val="FF0000"/>
        </w:rPr>
        <w:t>iligencie</w:t>
      </w:r>
      <w:r w:rsidR="00C311C3">
        <w:rPr>
          <w:b/>
          <w:color w:val="FF0000"/>
        </w:rPr>
        <w:t xml:space="preserve"> el</w:t>
      </w:r>
      <w:r w:rsidR="00B90650" w:rsidRPr="00B90650">
        <w:rPr>
          <w:b/>
          <w:color w:val="FF0000"/>
        </w:rPr>
        <w:t xml:space="preserve"> número)</w:t>
      </w:r>
      <w:r w:rsidRPr="00B90650">
        <w:rPr>
          <w:b/>
          <w:color w:val="FF0000"/>
        </w:rPr>
        <w:t xml:space="preserve"> </w:t>
      </w:r>
      <w:r>
        <w:rPr>
          <w:b/>
        </w:rPr>
        <w:t xml:space="preserve">DE </w:t>
      </w:r>
      <w:r w:rsidR="00B90650" w:rsidRPr="00B90650">
        <w:rPr>
          <w:b/>
          <w:color w:val="FF0000"/>
        </w:rPr>
        <w:t>(</w:t>
      </w:r>
      <w:r w:rsidR="00C311C3">
        <w:rPr>
          <w:b/>
          <w:color w:val="FF0000"/>
        </w:rPr>
        <w:t>d</w:t>
      </w:r>
      <w:r w:rsidR="00B90650" w:rsidRPr="00B90650">
        <w:rPr>
          <w:b/>
          <w:color w:val="FF0000"/>
        </w:rPr>
        <w:t>iligencie</w:t>
      </w:r>
      <w:r w:rsidR="00C311C3">
        <w:rPr>
          <w:b/>
          <w:color w:val="FF0000"/>
        </w:rPr>
        <w:t xml:space="preserve"> el</w:t>
      </w:r>
      <w:r w:rsidR="00B90650" w:rsidRPr="00B90650">
        <w:rPr>
          <w:b/>
          <w:color w:val="FF0000"/>
        </w:rPr>
        <w:t xml:space="preserve"> lugar de expedición del documento de identificación)</w:t>
      </w:r>
      <w:r>
        <w:rPr>
          <w:b/>
        </w:rPr>
        <w:t>.</w:t>
      </w:r>
    </w:p>
    <w:p w14:paraId="394FB684" w14:textId="77777777" w:rsidR="0072751D" w:rsidRDefault="00242655">
      <w:pPr>
        <w:spacing w:line="259" w:lineRule="auto"/>
        <w:ind w:left="50"/>
        <w:jc w:val="both"/>
        <w:rPr>
          <w:i/>
        </w:rPr>
      </w:pPr>
      <w:r>
        <w:rPr>
          <w:b/>
        </w:rPr>
        <w:t xml:space="preserve"> </w:t>
      </w:r>
    </w:p>
    <w:p w14:paraId="0D846403" w14:textId="40A14A6C" w:rsidR="00342AEA" w:rsidRPr="00342AEA" w:rsidRDefault="00242655" w:rsidP="00342AEA">
      <w:pPr>
        <w:ind w:left="-5"/>
        <w:jc w:val="both"/>
        <w:rPr>
          <w:b/>
        </w:rPr>
      </w:pPr>
      <w:r>
        <w:rPr>
          <w:b/>
        </w:rPr>
        <w:t>OBJETO:</w:t>
      </w:r>
      <w:r>
        <w:t xml:space="preserve"> </w:t>
      </w:r>
      <w:r w:rsidRPr="00FD64D9">
        <w:rPr>
          <w:color w:val="FF0000"/>
        </w:rPr>
        <w:t>“</w:t>
      </w:r>
      <w:r w:rsidR="00B90650" w:rsidRPr="00FD64D9">
        <w:rPr>
          <w:color w:val="FF0000"/>
        </w:rPr>
        <w:t>Diligencie el objeto del proceso</w:t>
      </w:r>
      <w:r w:rsidRPr="00FD64D9">
        <w:rPr>
          <w:color w:val="FF0000"/>
        </w:rPr>
        <w:t>”.</w:t>
      </w:r>
      <w:r w:rsidRPr="00B90650">
        <w:rPr>
          <w:color w:val="FF0000"/>
        </w:rPr>
        <w:t xml:space="preserve"> </w:t>
      </w:r>
      <w:r>
        <w:rPr>
          <w:b/>
        </w:rPr>
        <w:t xml:space="preserve">CLÁUSULA PRIMERA. - OBLIGACIONES. </w:t>
      </w:r>
      <w:r>
        <w:t xml:space="preserve">Para la ejecución del presente contrato las obligaciones del </w:t>
      </w:r>
      <w:r>
        <w:rPr>
          <w:b/>
        </w:rPr>
        <w:t xml:space="preserve">CONTRATISTA </w:t>
      </w:r>
      <w:r>
        <w:t xml:space="preserve">frente a </w:t>
      </w:r>
      <w:r>
        <w:rPr>
          <w:b/>
        </w:rPr>
        <w:t xml:space="preserve">LA U.A.E CONTADURÍA GENERAL DE LA NACIÓN </w:t>
      </w:r>
      <w:r>
        <w:t>serán las siguientes</w:t>
      </w:r>
      <w:r>
        <w:rPr>
          <w:b/>
        </w:rPr>
        <w:t xml:space="preserve">: A) OBLIGACIONES ESPECÍFICAS. </w:t>
      </w:r>
      <w:r>
        <w:t xml:space="preserve">1. El contratista estará obligado a ofrecer garantizar las condiciones básicas que corresponden a las especificaciones técnicas a contratar, que se estipulan en </w:t>
      </w:r>
      <w:r w:rsidRPr="00FD64D9">
        <w:t xml:space="preserve">el </w:t>
      </w:r>
      <w:r w:rsidRPr="00FD64D9">
        <w:rPr>
          <w:b/>
        </w:rPr>
        <w:t>ANEXO No. 0</w:t>
      </w:r>
      <w:r w:rsidR="00B90650" w:rsidRPr="00FD64D9">
        <w:rPr>
          <w:b/>
          <w:color w:val="FF0000"/>
        </w:rPr>
        <w:t>X</w:t>
      </w:r>
      <w:r w:rsidRPr="00FD64D9">
        <w:rPr>
          <w:b/>
        </w:rPr>
        <w:t xml:space="preserve"> ESPECIFICACIONES TÉCNICAS. </w:t>
      </w:r>
      <w:r w:rsidR="00B90650" w:rsidRPr="00FD64D9">
        <w:t xml:space="preserve">2. </w:t>
      </w:r>
      <w:r w:rsidR="00B90650" w:rsidRPr="00FD64D9">
        <w:rPr>
          <w:color w:val="FF0000"/>
        </w:rPr>
        <w:t>(Diligenci</w:t>
      </w:r>
      <w:r w:rsidR="00FD64D9" w:rsidRPr="00FD64D9">
        <w:rPr>
          <w:color w:val="FF0000"/>
        </w:rPr>
        <w:t>e</w:t>
      </w:r>
      <w:r w:rsidR="00B90650" w:rsidRPr="00FD64D9">
        <w:rPr>
          <w:color w:val="FF0000"/>
        </w:rPr>
        <w:t xml:space="preserve"> las obligaciones especificas establecidas en los documentos del proceso de selección). </w:t>
      </w:r>
      <w:r w:rsidR="00B90650" w:rsidRPr="00FD64D9">
        <w:rPr>
          <w:b/>
          <w:bCs/>
          <w:color w:val="FF0000"/>
        </w:rPr>
        <w:t xml:space="preserve">RECORDATORIO: </w:t>
      </w:r>
      <w:r w:rsidR="00B90650" w:rsidRPr="00FD64D9">
        <w:rPr>
          <w:color w:val="FF0000"/>
        </w:rPr>
        <w:t>Diligenci</w:t>
      </w:r>
      <w:r w:rsidR="00FD64D9" w:rsidRPr="00FD64D9">
        <w:rPr>
          <w:color w:val="FF0000"/>
        </w:rPr>
        <w:t>e</w:t>
      </w:r>
      <w:r w:rsidR="00B90650" w:rsidRPr="00FD64D9">
        <w:rPr>
          <w:color w:val="FF0000"/>
        </w:rPr>
        <w:t xml:space="preserve"> las obligaciones derivadas </w:t>
      </w:r>
      <w:r w:rsidR="00342AEA" w:rsidRPr="00FD64D9">
        <w:rPr>
          <w:color w:val="FF0000"/>
        </w:rPr>
        <w:t>de los criterios</w:t>
      </w:r>
      <w:r w:rsidR="00B90650" w:rsidRPr="00FD64D9">
        <w:rPr>
          <w:color w:val="FF0000"/>
        </w:rPr>
        <w:t xml:space="preserve"> de calificación</w:t>
      </w:r>
      <w:r w:rsidR="00342AEA" w:rsidRPr="00FD64D9">
        <w:rPr>
          <w:color w:val="FF0000"/>
        </w:rPr>
        <w:t xml:space="preserve"> acreditados y que otorgaron puntaje al proveedor seleccionado</w:t>
      </w:r>
      <w:r w:rsidR="00B90650" w:rsidRPr="00342AEA">
        <w:rPr>
          <w:color w:val="FF0000"/>
        </w:rPr>
        <w:t xml:space="preserve"> </w:t>
      </w:r>
      <w:r>
        <w:rPr>
          <w:b/>
        </w:rPr>
        <w:t>B)</w:t>
      </w:r>
      <w:r>
        <w:t xml:space="preserve"> </w:t>
      </w:r>
      <w:r>
        <w:rPr>
          <w:b/>
        </w:rPr>
        <w:t xml:space="preserve">OBLIGACIONES GENERALES DEL CONTRATISTA: </w:t>
      </w:r>
      <w:r>
        <w:t>1. Constituir, ampliar, prorrogar o modificar las garantías en el evento en que se aumente el valor del contrato, se prorrogue su vigencia o se modifiquen sus condiciones. Así mismo, EL CONTRATISTA debe reponer las garantías cuando el valor de las mismas se vea afectado por razón de siniestros. De lo anterior</w:t>
      </w:r>
      <w:r w:rsidR="00FD64D9">
        <w:t>,</w:t>
      </w:r>
      <w:r>
        <w:t xml:space="preserve"> el contratista debe comunicar a la compañía de seguros. 2. Realizar oportunamente los pagos al sistema de seguridad social y parafiscales de acuerdo con el artículo 23 de la </w:t>
      </w:r>
      <w:r w:rsidR="00FD64D9">
        <w:t>L</w:t>
      </w:r>
      <w:r>
        <w:t>ey 1150 del 2007. 3. Mantener fijos los precios ofertados, los cuales no estarán sujetos a reajuste. 4. Cumplir con todo lo ofrecido en la propuesta. 5. Presentar</w:t>
      </w:r>
      <w:r w:rsidR="00FD64D9">
        <w:t>,</w:t>
      </w:r>
      <w:r>
        <w:t xml:space="preserve"> al finalizar el contrato</w:t>
      </w:r>
      <w:r w:rsidR="00FD64D9">
        <w:t>,</w:t>
      </w:r>
      <w:r>
        <w:t xml:space="preserve"> un informe final sobre la ejecución del </w:t>
      </w:r>
      <w:r w:rsidR="00FD64D9">
        <w:t>mismo</w:t>
      </w:r>
      <w:r>
        <w:t xml:space="preserve"> el cual debe contar con el visto bueno del supervisor. 6. Informar oportunamente cualquier anomalía o dificultad que advierta en el desarrollo del contrato y proponer alternativas de solución a las mismas. 7. Atender las peticiones y/o consultas que le indique el supervisor y se relacionen con el objeto del contrato. 8. Cumplir las indicaciones, recomendaciones y/o sugerencias impartidas por el encargado del control y vigilancia del contrato y las demás que sean inherentes al objeto de la contratación. 9. Defender en todas sus actuaciones los intereses de la U.A.E Contaduría General de la Nación y obrar con lealtad y buena fe en todas las etapas </w:t>
      </w:r>
      <w:r>
        <w:lastRenderedPageBreak/>
        <w:t>contractuales. 10. Cumplir con el objeto del contrato, con plena autonomía técnica, administrativa y financiera, y bajo su propia responsabilidad. Por lo tanto, no existe ni existirá ningún tipo de subordinación, ni vínculo laboral con la U.A.E</w:t>
      </w:r>
      <w:r w:rsidR="00FD64D9">
        <w:t>.</w:t>
      </w:r>
      <w:r>
        <w:t xml:space="preserve"> Contaduría General de la Nación. 11. Mantener actualizado su domicilio durante la vigencia del contrato y seis (6) meses más y presentarse a la U.A.E</w:t>
      </w:r>
      <w:r w:rsidR="00FD64D9">
        <w:t>.</w:t>
      </w:r>
      <w:r>
        <w:t xml:space="preserve"> Contaduría General de la Nación en el momento en que sea requerido por </w:t>
      </w:r>
      <w:r w:rsidR="00FD64D9">
        <w:t>la entidad</w:t>
      </w:r>
      <w:r>
        <w:t xml:space="preserve"> para la suscripción de la correspondiente Acta de Liquidación. 12. Adelantar oportunamente los trámites y cumplir los requisitos para la ejecución del contrato. 13. Obrar con buena fe, evitando dilaciones y trabas que puedan presentarse durante la ejecución del contrato. 14. Responder por los perjuicios que se causen a la U.A.E</w:t>
      </w:r>
      <w:r w:rsidR="00FD64D9">
        <w:t>.</w:t>
      </w:r>
      <w:r>
        <w:t xml:space="preserve"> Contaduría General de la Nación, con ocasión de averías, daño o destrucción de bienes muebles, inmuebles, hurto o cualquier hecho que constituya responsabilidad del Contratista o de sus empleados. 15. Suscribir el </w:t>
      </w:r>
      <w:r>
        <w:rPr>
          <w:b/>
        </w:rPr>
        <w:t>ANEXO: ACUERDO DE CONFIDENCIALIDAD</w:t>
      </w:r>
      <w:r>
        <w:t xml:space="preserve">, </w:t>
      </w:r>
      <w:r>
        <w:rPr>
          <w:b/>
        </w:rPr>
        <w:t>ANEXO: COMPROMISO DE INTEGRIDAD</w:t>
      </w:r>
      <w:r>
        <w:t xml:space="preserve"> y </w:t>
      </w:r>
      <w:r>
        <w:rPr>
          <w:b/>
        </w:rPr>
        <w:t>ANEXO: COMPROMISO ANTICORRUPCIÓN</w:t>
      </w:r>
      <w:r>
        <w:t xml:space="preserve"> entregados por la U.A.E</w:t>
      </w:r>
      <w:r w:rsidR="00FD64D9">
        <w:t>.</w:t>
      </w:r>
      <w:r>
        <w:t xml:space="preserve"> Contaduría General de la Nación. 16. Apoyar el mantenimiento y mejora continua del Sistema Integrado de Gestión Institucional (SIGI), con el fin de garantizar el cumplimiento de los requisitos establecidos en las siguientes normas: - Modelo Integrado de Planeación y Gestión MIPG Versión II, Decreto 1499 de 2017. Norma Técnica Colombiana NTC ISO 9001:2015. Sistemas de Gestión de la Calidad. Norma Técnica Colombiana NTC ISO 14001:2015. Sistemas de Gestión Ambiental. Norma Técnica Colombiana NTC ISO 45001:2018. Sistemas de Gestión de la Seguridad y Salud en el Trabajo. Norma Técnica Colombiana NTC ISO IEC 27001:2013. Sistemas de Gestión de la Seguridad de la Información. 17. El Contratista se obligará a seguir los lineamientos en cuanto a la política, objetivos y metas del Sistema de Gestión de la Calidad, Sistema de Gestión Ambiental, Sistema de Gestión de la Seguridad y Salud en el Trabajo (Decreto 1443 de 2014), Sistema de Gestión de la Seguridad de la Información de la CGN, de igual manera, lo establecido en el Modelo Integrado de Planeación y Gestión – MIPG. </w:t>
      </w:r>
      <w:r>
        <w:rPr>
          <w:b/>
        </w:rPr>
        <w:t>PARÁGRAFO PRIMERO:</w:t>
      </w:r>
      <w:r>
        <w:t xml:space="preserve"> Las obligaciones descritas en el literal B de la presente cláusula, son de contenido general para los contratos celebrados por la U.A.E</w:t>
      </w:r>
      <w:r w:rsidR="00FD64D9">
        <w:t>.</w:t>
      </w:r>
      <w:r>
        <w:t xml:space="preserve"> Contaduría General de la Nación y se exigirá su cumplimiento en tanto tengan relación directa con el mismo. </w:t>
      </w:r>
      <w:r>
        <w:rPr>
          <w:b/>
        </w:rPr>
        <w:t>CLÁUSULA SEGUNDA. OBLIGACIONES DE LA U.A.E</w:t>
      </w:r>
      <w:r w:rsidR="00FD64D9">
        <w:rPr>
          <w:b/>
        </w:rPr>
        <w:t>.</w:t>
      </w:r>
      <w:r>
        <w:rPr>
          <w:b/>
        </w:rPr>
        <w:t xml:space="preserve"> CONTADURÍA GENERAL DE LA NACIÓN:</w:t>
      </w:r>
      <w:r>
        <w:t xml:space="preserve"> Son obligaciones de la U.A.E</w:t>
      </w:r>
      <w:r w:rsidR="00FD64D9">
        <w:t>.</w:t>
      </w:r>
      <w:r>
        <w:t xml:space="preserve"> Contaduría General de la Nación las siguientes: a. Efectuar el registro presupuestal del contrato. b. Aprobar las garantías que se constituyan con ocasión a la suscripción del contrato. c. Pagar el valor del contrato, de conformidad con lo establecido en el presente documento, el cual queda subordinado a la aprobación del </w:t>
      </w:r>
      <w:r w:rsidR="00BD0DC1">
        <w:t>P</w:t>
      </w:r>
      <w:r>
        <w:t xml:space="preserve">rograma </w:t>
      </w:r>
      <w:r w:rsidR="00BD0DC1">
        <w:t>A</w:t>
      </w:r>
      <w:r>
        <w:t xml:space="preserve">nual </w:t>
      </w:r>
      <w:r w:rsidR="00BD0DC1">
        <w:t>M</w:t>
      </w:r>
      <w:r>
        <w:t xml:space="preserve">ensualizado de </w:t>
      </w:r>
      <w:r w:rsidR="00BD0DC1">
        <w:t>C</w:t>
      </w:r>
      <w:r>
        <w:t>aja - PAC - por parte de la Dirección General del Tesoro del Ministerio de Hacienda y Crédito Público. d. Supervisar el contrato por parte del funcionario que</w:t>
      </w:r>
      <w:r w:rsidR="00FD64D9">
        <w:t>,</w:t>
      </w:r>
      <w:r>
        <w:t xml:space="preserve"> para tal efecto</w:t>
      </w:r>
      <w:r w:rsidR="00FD64D9">
        <w:t>,</w:t>
      </w:r>
      <w:r>
        <w:t xml:space="preserve"> designe el ordenador </w:t>
      </w:r>
      <w:r>
        <w:lastRenderedPageBreak/>
        <w:t xml:space="preserve">del gasto. e. Brindar el soporte y acompañamiento que requiera el contratista, para la correcta ejecución del contrato. f. Las demás que se deriven de la naturaleza del contrato. </w:t>
      </w:r>
      <w:r>
        <w:rPr>
          <w:b/>
        </w:rPr>
        <w:t xml:space="preserve">CLÁUSULA TERCERA. RESPONSABILIDAD DEL CONTRATISTA. </w:t>
      </w:r>
      <w:r w:rsidRPr="00FD64D9">
        <w:rPr>
          <w:bCs/>
        </w:rPr>
        <w:t>EL CONTRATISTA</w:t>
      </w:r>
      <w:r>
        <w:rPr>
          <w:b/>
        </w:rPr>
        <w:t xml:space="preserve"> </w:t>
      </w:r>
      <w:r>
        <w:t xml:space="preserve">será responsable ante las autoridades de los actos u omisiones que desarrolle en el ejercicio de las actividades del presente contrato, cuando con ellos cause perjuicio a la administración o a terceros. Igualmente será responsable en los términos del artículo 52 de la Ley 80 de 1993. </w:t>
      </w:r>
      <w:r>
        <w:rPr>
          <w:b/>
        </w:rPr>
        <w:t xml:space="preserve">CLÁUSULA CUARTA. - VALOR Y FORMA DE </w:t>
      </w:r>
      <w:r w:rsidRPr="00FD64D9">
        <w:rPr>
          <w:b/>
        </w:rPr>
        <w:t>PAGO:</w:t>
      </w:r>
      <w:r w:rsidRPr="00FD64D9">
        <w:t xml:space="preserve"> Para los efectos legales y fiscales pertinentes, el valor único del contrato es la suma de </w:t>
      </w:r>
      <w:r w:rsidR="00B90650" w:rsidRPr="00FD64D9">
        <w:rPr>
          <w:color w:val="FF0000"/>
        </w:rPr>
        <w:t>(</w:t>
      </w:r>
      <w:r w:rsidR="00FD64D9" w:rsidRPr="00FD64D9">
        <w:rPr>
          <w:color w:val="FF0000"/>
        </w:rPr>
        <w:t>d</w:t>
      </w:r>
      <w:r w:rsidR="00B90650" w:rsidRPr="00FD64D9">
        <w:rPr>
          <w:color w:val="FF0000"/>
        </w:rPr>
        <w:t>iligencie el valor en letras)</w:t>
      </w:r>
      <w:r w:rsidRPr="00FD64D9">
        <w:rPr>
          <w:color w:val="FF0000"/>
        </w:rPr>
        <w:t xml:space="preserve"> </w:t>
      </w:r>
      <w:r w:rsidRPr="00FD64D9">
        <w:t>PESOS M/CTE ($</w:t>
      </w:r>
      <w:r w:rsidR="008F78DE">
        <w:t xml:space="preserve"> </w:t>
      </w:r>
      <w:r w:rsidR="00B90650" w:rsidRPr="00FD64D9">
        <w:rPr>
          <w:color w:val="FF0000"/>
        </w:rPr>
        <w:t>(</w:t>
      </w:r>
      <w:r w:rsidR="00FD64D9" w:rsidRPr="00FD64D9">
        <w:rPr>
          <w:color w:val="FF0000"/>
        </w:rPr>
        <w:t>d</w:t>
      </w:r>
      <w:r w:rsidR="00B90650" w:rsidRPr="00FD64D9">
        <w:rPr>
          <w:color w:val="FF0000"/>
        </w:rPr>
        <w:t>iligencie el valor en números</w:t>
      </w:r>
      <w:r w:rsidRPr="00FD64D9">
        <w:t>), incluidos los costos directos e indirectos y todos los impuestos a que haya lugar, suma que la U.A.E</w:t>
      </w:r>
      <w:r w:rsidR="00FD64D9">
        <w:t>.</w:t>
      </w:r>
      <w:r w:rsidRPr="00FD64D9">
        <w:t xml:space="preserve"> Contaduría General de la Nación cancelará al CONTRATISTA de la siguiente forma: La U.A.E. Contaduría General de la Nación se compromete a pagar el valor del futuro contrato, condicionado a las apropiaciones presupuestales que se hagan del mismo, así: a) El pago estará sujeto al cumplimiento de los trámites administrativos a que haya lugar, a la aprobación del Programa Anual Mensualizado de Caja</w:t>
      </w:r>
      <w:r w:rsidR="00BD0DC1">
        <w:t xml:space="preserve"> </w:t>
      </w:r>
      <w:r w:rsidRPr="00FD64D9">
        <w:t xml:space="preserve">-PAC- por parte de la Dirección General de Crédito Público y del Tesoro Nacional, a la expedición de la obligación y </w:t>
      </w:r>
      <w:r w:rsidR="00BD0DC1">
        <w:t xml:space="preserve">a la </w:t>
      </w:r>
      <w:r w:rsidRPr="00FD64D9">
        <w:t xml:space="preserve">orden de pago en el SIIF. b) Se realizará el pago de la siguiente manera: </w:t>
      </w:r>
      <w:r w:rsidR="00B90650" w:rsidRPr="00FD64D9">
        <w:rPr>
          <w:color w:val="FF0000"/>
        </w:rPr>
        <w:t>(</w:t>
      </w:r>
      <w:r w:rsidR="00BD0DC1">
        <w:rPr>
          <w:color w:val="FF0000"/>
        </w:rPr>
        <w:t>d</w:t>
      </w:r>
      <w:r w:rsidR="00B90650" w:rsidRPr="00FD64D9">
        <w:rPr>
          <w:color w:val="FF0000"/>
        </w:rPr>
        <w:t>iligencie la forma de pago establecida en los documentos del proceso de selección).</w:t>
      </w:r>
      <w:r w:rsidRPr="00FD64D9">
        <w:rPr>
          <w:color w:val="FF0000"/>
        </w:rPr>
        <w:t xml:space="preserve"> </w:t>
      </w:r>
      <w:r w:rsidRPr="00FD64D9">
        <w:t>c) El pago se realizará previo recibo a satisfacción por parte del supervisor, el pago debe</w:t>
      </w:r>
      <w:r>
        <w:t xml:space="preserve"> contar con la presentación de la respectiva cuenta de cobro o factura, según corresponda, junto con la certificación original expedida por el representante legal o revisor fiscal del pago de seguridad social y parafiscales y la posterior radicación de la información requerida en el SECOP II. </w:t>
      </w:r>
      <w:r>
        <w:rPr>
          <w:b/>
        </w:rPr>
        <w:t>NOTA:</w:t>
      </w:r>
      <w:r>
        <w:t xml:space="preserve"> Excepcionalmente se realizará el pago, solo con los documentos físicos, en caso de presentarse </w:t>
      </w:r>
      <w:r w:rsidRPr="00BD0DC1">
        <w:t>fallas en la plataforma de SECOP II que no sean del control de la CGN ni del Contratista.</w:t>
      </w:r>
      <w:r w:rsidRPr="00BD0DC1">
        <w:rPr>
          <w:i/>
        </w:rPr>
        <w:t xml:space="preserve"> </w:t>
      </w:r>
      <w:r w:rsidR="00BD0DC1" w:rsidRPr="00BD0DC1">
        <w:t>L</w:t>
      </w:r>
      <w:r w:rsidRPr="00BD0DC1">
        <w:t>a U.A.E</w:t>
      </w:r>
      <w:r w:rsidR="00BD0DC1" w:rsidRPr="00BD0DC1">
        <w:t>.</w:t>
      </w:r>
      <w:r w:rsidRPr="00BD0DC1">
        <w:t xml:space="preserve"> Contaduría General de la Nación consignará en la Cuenta </w:t>
      </w:r>
      <w:r w:rsidR="00B90650" w:rsidRPr="00BD0DC1">
        <w:rPr>
          <w:color w:val="FF0000"/>
        </w:rPr>
        <w:t>(</w:t>
      </w:r>
      <w:r w:rsidR="00BD0DC1" w:rsidRPr="00BD0DC1">
        <w:rPr>
          <w:color w:val="FF0000"/>
        </w:rPr>
        <w:t xml:space="preserve">de </w:t>
      </w:r>
      <w:r w:rsidR="00B90650" w:rsidRPr="00BD0DC1">
        <w:rPr>
          <w:color w:val="FF0000"/>
        </w:rPr>
        <w:t xml:space="preserve">Ahorros // </w:t>
      </w:r>
      <w:r w:rsidRPr="00BD0DC1">
        <w:rPr>
          <w:color w:val="FF0000"/>
        </w:rPr>
        <w:t>Corriente</w:t>
      </w:r>
      <w:r w:rsidR="00B90650" w:rsidRPr="00BD0DC1">
        <w:rPr>
          <w:color w:val="FF0000"/>
        </w:rPr>
        <w:t>)</w:t>
      </w:r>
      <w:r w:rsidRPr="00BD0DC1">
        <w:rPr>
          <w:color w:val="FF0000"/>
        </w:rPr>
        <w:t xml:space="preserve"> </w:t>
      </w:r>
      <w:r w:rsidRPr="00BD0DC1">
        <w:rPr>
          <w:b/>
        </w:rPr>
        <w:t xml:space="preserve">No. </w:t>
      </w:r>
      <w:r w:rsidR="00B90650" w:rsidRPr="008F78DE">
        <w:rPr>
          <w:bCs/>
          <w:color w:val="FF0000"/>
        </w:rPr>
        <w:t>(</w:t>
      </w:r>
      <w:r w:rsidR="00BD0DC1">
        <w:rPr>
          <w:bCs/>
          <w:color w:val="FF0000"/>
        </w:rPr>
        <w:t>d</w:t>
      </w:r>
      <w:r w:rsidR="00B90650" w:rsidRPr="00BD0DC1">
        <w:rPr>
          <w:bCs/>
          <w:color w:val="FF0000"/>
        </w:rPr>
        <w:t>iligencie el n</w:t>
      </w:r>
      <w:r w:rsidR="00BD0DC1">
        <w:rPr>
          <w:bCs/>
          <w:color w:val="FF0000"/>
        </w:rPr>
        <w:t>ú</w:t>
      </w:r>
      <w:r w:rsidR="00B90650" w:rsidRPr="00BD0DC1">
        <w:rPr>
          <w:bCs/>
          <w:color w:val="FF0000"/>
        </w:rPr>
        <w:t>mero de la cuenta bancaria)</w:t>
      </w:r>
      <w:r w:rsidRPr="00BD0DC1">
        <w:rPr>
          <w:b/>
          <w:color w:val="FF0000"/>
        </w:rPr>
        <w:t xml:space="preserve"> </w:t>
      </w:r>
      <w:r w:rsidRPr="00BD0DC1">
        <w:rPr>
          <w:b/>
        </w:rPr>
        <w:t xml:space="preserve">de </w:t>
      </w:r>
      <w:r w:rsidR="00B90650" w:rsidRPr="00BD0DC1">
        <w:rPr>
          <w:bCs/>
          <w:color w:val="FF0000"/>
        </w:rPr>
        <w:t>(</w:t>
      </w:r>
      <w:r w:rsidR="00BD0DC1">
        <w:rPr>
          <w:bCs/>
          <w:color w:val="FF0000"/>
        </w:rPr>
        <w:t>d</w:t>
      </w:r>
      <w:r w:rsidR="00B90650" w:rsidRPr="00BD0DC1">
        <w:rPr>
          <w:bCs/>
          <w:color w:val="FF0000"/>
        </w:rPr>
        <w:t>iligencie el nombre de la entidad bancaria)</w:t>
      </w:r>
      <w:r w:rsidRPr="00BD0DC1">
        <w:rPr>
          <w:bCs/>
          <w:color w:val="FF0000"/>
        </w:rPr>
        <w:t xml:space="preserve">. </w:t>
      </w:r>
      <w:r w:rsidRPr="00BD0DC1">
        <w:rPr>
          <w:b/>
        </w:rPr>
        <w:t xml:space="preserve">CLÁUSULA QUINTA. – PLAZO: </w:t>
      </w:r>
      <w:r w:rsidRPr="00BD0DC1">
        <w:t xml:space="preserve">El plazo de ejecución del contrato será de </w:t>
      </w:r>
      <w:r w:rsidR="00B90650" w:rsidRPr="00BD0DC1">
        <w:rPr>
          <w:color w:val="FF0000"/>
        </w:rPr>
        <w:t>(</w:t>
      </w:r>
      <w:r w:rsidR="00BD0DC1">
        <w:rPr>
          <w:color w:val="FF0000"/>
        </w:rPr>
        <w:t>d</w:t>
      </w:r>
      <w:r w:rsidR="00B90650" w:rsidRPr="00BD0DC1">
        <w:rPr>
          <w:color w:val="FF0000"/>
        </w:rPr>
        <w:t xml:space="preserve">iligencie el plazo del contrato establecido en los documentos del proceso de selección) </w:t>
      </w:r>
      <w:r w:rsidRPr="00BD0DC1">
        <w:t>contados</w:t>
      </w:r>
      <w:r>
        <w:t xml:space="preserve"> a partir de la suscripción </w:t>
      </w:r>
      <w:r w:rsidRPr="00BD0DC1">
        <w:t>del acta de inicio</w:t>
      </w:r>
      <w:r w:rsidR="00BD0DC1" w:rsidRPr="00BD0DC1">
        <w:t>,</w:t>
      </w:r>
      <w:r w:rsidRPr="00BD0DC1">
        <w:t xml:space="preserve"> previo cumplimiento de los requisitos de perfeccionamiento y ejecución.</w:t>
      </w:r>
      <w:r w:rsidRPr="00BD0DC1">
        <w:rPr>
          <w:b/>
        </w:rPr>
        <w:t xml:space="preserve"> </w:t>
      </w:r>
      <w:r w:rsidRPr="00BD0DC1">
        <w:rPr>
          <w:b/>
          <w:bCs/>
        </w:rPr>
        <w:t xml:space="preserve">VIGENCIA TÉCNICA: </w:t>
      </w:r>
      <w:r w:rsidR="00B90650" w:rsidRPr="00BD0DC1">
        <w:rPr>
          <w:color w:val="FF0000"/>
        </w:rPr>
        <w:t>(</w:t>
      </w:r>
      <w:r w:rsidR="00BD0DC1">
        <w:rPr>
          <w:color w:val="FF0000"/>
        </w:rPr>
        <w:t>d</w:t>
      </w:r>
      <w:r w:rsidR="00B90650" w:rsidRPr="00BD0DC1">
        <w:rPr>
          <w:color w:val="FF0000"/>
        </w:rPr>
        <w:t>iligencie la vigencia técnica en caso de que aplique)</w:t>
      </w:r>
      <w:r w:rsidRPr="00BD0DC1">
        <w:t xml:space="preserve">. </w:t>
      </w:r>
      <w:r w:rsidRPr="00BD0DC1">
        <w:rPr>
          <w:b/>
        </w:rPr>
        <w:t xml:space="preserve">CLÁUSULA </w:t>
      </w:r>
      <w:r w:rsidR="00B90650" w:rsidRPr="00BD0DC1">
        <w:rPr>
          <w:b/>
        </w:rPr>
        <w:t>SEXTA. -</w:t>
      </w:r>
      <w:r w:rsidRPr="00BD0DC1">
        <w:rPr>
          <w:b/>
        </w:rPr>
        <w:t xml:space="preserve"> PENAL PECUNIARIA:</w:t>
      </w:r>
      <w:r w:rsidRPr="00BD0DC1">
        <w:t xml:space="preserve"> En caso de incumplimiento por parte del</w:t>
      </w:r>
      <w:r>
        <w:t xml:space="preserve"> CONTRATISTA de las obligaciones que por este contrato adquiere o de declaratoria de nulidad de este, La U.A.E</w:t>
      </w:r>
      <w:r w:rsidR="00BD0DC1">
        <w:t>.</w:t>
      </w:r>
      <w:r>
        <w:t xml:space="preserve"> Contaduría General de la Nación cobrará a título de pena, una sanción pecuniaria equivalente al diez por ciento (10%) del valor del presente contrato. EL CONTRATISTA quedará en mora por el simple hecho de no haber cumplido sus obligaciones dentro del término estipulado para ello. </w:t>
      </w:r>
      <w:r>
        <w:rPr>
          <w:b/>
        </w:rPr>
        <w:t>CLÁUSULA SÉPTIMA. - APLICACIÓN DE LA CLÁUSULA PENAL:</w:t>
      </w:r>
      <w:r>
        <w:t xml:space="preserve"> El valor de la cláusula penal se </w:t>
      </w:r>
      <w:r>
        <w:lastRenderedPageBreak/>
        <w:t xml:space="preserve">tomará del saldo a favor del CONTRATISTA si los hubiere, o si esto último no fuere posible, se cobrará por vía ejecutiva. </w:t>
      </w:r>
      <w:r>
        <w:rPr>
          <w:b/>
        </w:rPr>
        <w:t xml:space="preserve">CLÁUSULA OCTAVA. - CLÁUSULA DE MULTA. </w:t>
      </w:r>
      <w:r>
        <w:t>En caso de que el contratista incurra en mora o incumplimiento parcial de alguna de las obligaciones adquiridas en este contrato la U.A.E</w:t>
      </w:r>
      <w:r w:rsidR="00BD0DC1">
        <w:t>.</w:t>
      </w:r>
      <w:r>
        <w:t xml:space="preserve"> Contaduría General de la Nación, podrá imponer al contratista, mediante resolución motivada multas diarias sucesivas equivalentes al uno por ciento (1/100) del valor del contrato por cada día de atraso en el cumplimiento de las obligaciones contraídas y por cada obligación incumplida. La acumulación de las multas antes </w:t>
      </w:r>
      <w:r w:rsidR="00B90650">
        <w:t>referidas no</w:t>
      </w:r>
      <w:r>
        <w:t xml:space="preserve"> podrá superar el 20% del valor total del contrato. La imposición de multas se tramitará y se harán efectivas de conformidad con lo establecido en el parágrafo del artículo 17 de la Ley 1150 de </w:t>
      </w:r>
      <w:r w:rsidR="00BD0DC1">
        <w:t>j</w:t>
      </w:r>
      <w:r>
        <w:t xml:space="preserve">ulio 16 de 2007, en concordancia con el artículo 86 de la Ley 1474 de 2011. La imposición de multas se efectuará sin perjuicio del cobro de la cláusula penal pecuniaria de acuerdo con lo pactado en el presente contrato. </w:t>
      </w:r>
      <w:r>
        <w:rPr>
          <w:b/>
        </w:rPr>
        <w:t xml:space="preserve">PARÁGRAFO PRIMERO: </w:t>
      </w:r>
      <w:r w:rsidRPr="00342AEA">
        <w:rPr>
          <w:b/>
          <w:bCs/>
        </w:rPr>
        <w:t>PROCEDIMIENTO PARA LA IMPOSICIÓN DE MULTAS.</w:t>
      </w:r>
      <w:r>
        <w:t xml:space="preserve"> - Para la imposición de las multas se surtirá el procedimiento que se describe en el artículo 86 de la Ley 1474 de 12 de julio de 2011, y Decreto 1082 de 2015 Artículo 2.2.1.2.3.1.19.  </w:t>
      </w:r>
      <w:r>
        <w:rPr>
          <w:b/>
        </w:rPr>
        <w:t xml:space="preserve">PARÁGRAFO SEGUNDO: </w:t>
      </w:r>
      <w:r w:rsidRPr="00342AEA">
        <w:rPr>
          <w:b/>
          <w:bCs/>
        </w:rPr>
        <w:t>CADUCIDAD ADMINISTRATIVA.</w:t>
      </w:r>
      <w:r>
        <w:t xml:space="preserve"> La U.A.E</w:t>
      </w:r>
      <w:r w:rsidR="00BD0DC1">
        <w:t>.</w:t>
      </w:r>
      <w:r>
        <w:t xml:space="preserve"> Contaduría General de la Nación podrá declarar la caducidad del contrato cuando se presenten hechos constitutivos de incumplimiento de las obligaciones a cargo del CONTRATISTA que afecten en forma grave y directa la ejecución del contrato y se evidencie que puede generar su paralización (normativa vigente aplicable). Se entiende como incumplimiento grave la sistemática omisión en la respuesta o atención de las obligaciones a su cargo. En caso de producirse la declaratoria de caducidad, no habrá lugar a la indemnización para el CONTRATISTA quien se hará acreedor a las sanciones e inhabilidades establecidas en la normativa vigente aplicable.  La resolución de caducidad se notificará personalmente al CONTRATISTA o a su representante o apoderado conforme al Código de Procedimiento Administrativo y de lo Contencioso Administrativo (Ley 1437 de 2011). Contra la resolución de caducidad procede el recurso de reposición en los términos consagrados en la normativa vigente aplicable.</w:t>
      </w:r>
      <w:r>
        <w:rPr>
          <w:b/>
        </w:rPr>
        <w:t xml:space="preserve"> </w:t>
      </w:r>
      <w:r w:rsidR="00342AEA" w:rsidRPr="00342AEA">
        <w:rPr>
          <w:b/>
        </w:rPr>
        <w:t xml:space="preserve">CLÁUSULA NOVENA. - GARANTÍAS: </w:t>
      </w:r>
      <w:r w:rsidR="00342AEA" w:rsidRPr="00342AEA">
        <w:rPr>
          <w:bCs/>
        </w:rPr>
        <w:t>EL CONTRATISTA se obliga a garantizar a favor de la U</w:t>
      </w:r>
      <w:r w:rsidR="00BD0DC1">
        <w:rPr>
          <w:bCs/>
        </w:rPr>
        <w:t>.</w:t>
      </w:r>
      <w:r w:rsidR="00342AEA" w:rsidRPr="00342AEA">
        <w:rPr>
          <w:bCs/>
        </w:rPr>
        <w:t>A</w:t>
      </w:r>
      <w:r w:rsidR="00BD0DC1">
        <w:rPr>
          <w:bCs/>
        </w:rPr>
        <w:t>.</w:t>
      </w:r>
      <w:r w:rsidR="00342AEA" w:rsidRPr="00342AEA">
        <w:rPr>
          <w:bCs/>
        </w:rPr>
        <w:t>E</w:t>
      </w:r>
      <w:r w:rsidR="00BD0DC1">
        <w:rPr>
          <w:bCs/>
        </w:rPr>
        <w:t>.</w:t>
      </w:r>
      <w:r w:rsidR="00342AEA" w:rsidRPr="00342AEA">
        <w:rPr>
          <w:bCs/>
        </w:rPr>
        <w:t xml:space="preserve"> Contaduría General de la Nación, el cumplimiento de las obligaciones surgidas, con ocasión de la ejecución del contrato a través de cualquiera de los mecanismos de cobertura señalados en la normatividad vigente, bajo los siguientes amparos y suficiencias, así:</w:t>
      </w:r>
    </w:p>
    <w:p w14:paraId="2AFD8954" w14:textId="77777777" w:rsidR="00342AEA" w:rsidRPr="00342AEA" w:rsidRDefault="00342AEA" w:rsidP="00342AEA">
      <w:pPr>
        <w:ind w:left="-5"/>
        <w:jc w:val="both"/>
        <w:rPr>
          <w:b/>
        </w:rPr>
      </w:pPr>
    </w:p>
    <w:tbl>
      <w:tblPr>
        <w:tblW w:w="0" w:type="auto"/>
        <w:tblCellMar>
          <w:top w:w="15" w:type="dxa"/>
          <w:left w:w="15" w:type="dxa"/>
          <w:bottom w:w="15" w:type="dxa"/>
          <w:right w:w="15" w:type="dxa"/>
        </w:tblCellMar>
        <w:tblLook w:val="04A0" w:firstRow="1" w:lastRow="0" w:firstColumn="1" w:lastColumn="0" w:noHBand="0" w:noVBand="1"/>
      </w:tblPr>
      <w:tblGrid>
        <w:gridCol w:w="2258"/>
        <w:gridCol w:w="2770"/>
        <w:gridCol w:w="2195"/>
        <w:gridCol w:w="2729"/>
      </w:tblGrid>
      <w:tr w:rsidR="00342AEA" w:rsidRPr="00342AEA" w14:paraId="264865D0" w14:textId="77777777" w:rsidTr="00DC19FF">
        <w:trPr>
          <w:trHeight w:val="490"/>
        </w:trPr>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8A24DE" w14:textId="40FC90E6" w:rsidR="00342AEA" w:rsidRPr="00BD0DC1" w:rsidRDefault="00342AEA" w:rsidP="00DC19FF">
            <w:pPr>
              <w:pStyle w:val="Textoindependiente"/>
              <w:ind w:right="110"/>
              <w:jc w:val="center"/>
              <w:rPr>
                <w:b/>
                <w:bCs/>
                <w:color w:val="FF0000"/>
                <w:sz w:val="18"/>
                <w:szCs w:val="18"/>
                <w:lang w:val="es-CO"/>
              </w:rPr>
            </w:pPr>
            <w:r w:rsidRPr="00BD0DC1">
              <w:rPr>
                <w:b/>
                <w:bCs/>
                <w:color w:val="FF0000"/>
                <w:sz w:val="18"/>
                <w:szCs w:val="18"/>
              </w:rPr>
              <w:t xml:space="preserve">Riesgos </w:t>
            </w:r>
            <w:r w:rsidR="00DC19FF">
              <w:rPr>
                <w:b/>
                <w:bCs/>
                <w:color w:val="FF0000"/>
                <w:sz w:val="18"/>
                <w:szCs w:val="18"/>
              </w:rPr>
              <w:t>a</w:t>
            </w:r>
            <w:r w:rsidRPr="00BD0DC1">
              <w:rPr>
                <w:b/>
                <w:bCs/>
                <w:color w:val="FF0000"/>
                <w:sz w:val="18"/>
                <w:szCs w:val="18"/>
              </w:rPr>
              <w:t xml:space="preserve"> </w:t>
            </w:r>
            <w:r w:rsidR="00BD0DC1">
              <w:rPr>
                <w:b/>
                <w:bCs/>
                <w:color w:val="FF0000"/>
                <w:sz w:val="18"/>
                <w:szCs w:val="18"/>
              </w:rPr>
              <w:t>a</w:t>
            </w:r>
            <w:r w:rsidRPr="00BD0DC1">
              <w:rPr>
                <w:b/>
                <w:bCs/>
                <w:color w:val="FF0000"/>
                <w:sz w:val="18"/>
                <w:szCs w:val="18"/>
              </w:rPr>
              <w:t>mparar por el contratista</w:t>
            </w:r>
          </w:p>
        </w:tc>
        <w:tc>
          <w:tcPr>
            <w:tcW w:w="2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5522E" w14:textId="77777777" w:rsidR="00342AEA" w:rsidRPr="00BD0DC1" w:rsidRDefault="00342AEA" w:rsidP="00DC19FF">
            <w:pPr>
              <w:pStyle w:val="Textoindependiente"/>
              <w:ind w:right="110"/>
              <w:jc w:val="center"/>
              <w:rPr>
                <w:b/>
                <w:bCs/>
                <w:color w:val="FF0000"/>
                <w:sz w:val="18"/>
                <w:szCs w:val="18"/>
                <w:lang w:val="es-CO"/>
              </w:rPr>
            </w:pPr>
            <w:r w:rsidRPr="00BD0DC1">
              <w:rPr>
                <w:b/>
                <w:bCs/>
                <w:color w:val="FF0000"/>
                <w:sz w:val="18"/>
                <w:szCs w:val="18"/>
                <w:lang w:val="es-CO"/>
              </w:rPr>
              <w:t>Monto</w:t>
            </w:r>
          </w:p>
        </w:tc>
        <w:tc>
          <w:tcPr>
            <w:tcW w:w="2195" w:type="dxa"/>
            <w:tcBorders>
              <w:top w:val="single" w:sz="8" w:space="0" w:color="000000"/>
              <w:left w:val="single" w:sz="8" w:space="0" w:color="000000"/>
              <w:bottom w:val="single" w:sz="8" w:space="0" w:color="000000"/>
              <w:right w:val="single" w:sz="8" w:space="0" w:color="000000"/>
            </w:tcBorders>
          </w:tcPr>
          <w:p w14:paraId="101EA061" w14:textId="77777777" w:rsidR="00342AEA" w:rsidRPr="00BD0DC1" w:rsidRDefault="00342AEA" w:rsidP="00DC19FF">
            <w:pPr>
              <w:pStyle w:val="Textoindependiente"/>
              <w:ind w:right="110"/>
              <w:jc w:val="center"/>
              <w:rPr>
                <w:b/>
                <w:bCs/>
                <w:color w:val="FF0000"/>
                <w:sz w:val="18"/>
                <w:szCs w:val="18"/>
                <w:lang w:val="es-CO"/>
              </w:rPr>
            </w:pPr>
            <w:r w:rsidRPr="00BD0DC1">
              <w:rPr>
                <w:b/>
                <w:bCs/>
                <w:color w:val="FF0000"/>
                <w:sz w:val="18"/>
                <w:szCs w:val="18"/>
              </w:rPr>
              <w:t>Base de liquidación</w:t>
            </w:r>
          </w:p>
        </w:tc>
        <w:tc>
          <w:tcPr>
            <w:tcW w:w="2729" w:type="dxa"/>
            <w:tcBorders>
              <w:top w:val="single" w:sz="8" w:space="0" w:color="000000"/>
              <w:left w:val="single" w:sz="8" w:space="0" w:color="000000"/>
              <w:bottom w:val="single" w:sz="8" w:space="0" w:color="000000"/>
              <w:right w:val="single" w:sz="8" w:space="0" w:color="000000"/>
            </w:tcBorders>
          </w:tcPr>
          <w:p w14:paraId="01FB71C6" w14:textId="77777777" w:rsidR="00342AEA" w:rsidRPr="00BD0DC1" w:rsidRDefault="00342AEA" w:rsidP="00DC19FF">
            <w:pPr>
              <w:pStyle w:val="Textoindependiente"/>
              <w:ind w:right="110"/>
              <w:jc w:val="center"/>
              <w:rPr>
                <w:b/>
                <w:bCs/>
                <w:color w:val="FF0000"/>
                <w:sz w:val="18"/>
                <w:szCs w:val="18"/>
              </w:rPr>
            </w:pPr>
            <w:r w:rsidRPr="00BD0DC1">
              <w:rPr>
                <w:b/>
                <w:bCs/>
                <w:color w:val="FF0000"/>
                <w:sz w:val="18"/>
                <w:szCs w:val="18"/>
              </w:rPr>
              <w:t>Vigencia del seguro</w:t>
            </w:r>
          </w:p>
        </w:tc>
      </w:tr>
      <w:tr w:rsidR="00342AEA" w:rsidRPr="00342AEA" w14:paraId="2611DFC5" w14:textId="77777777" w:rsidTr="00DC19FF">
        <w:trPr>
          <w:trHeight w:val="708"/>
        </w:trPr>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76AED6" w14:textId="11F5EA31" w:rsidR="00342AEA" w:rsidRPr="00DC19FF" w:rsidRDefault="00342AEA" w:rsidP="00D21ED1">
            <w:pPr>
              <w:pStyle w:val="Textoindependiente"/>
              <w:ind w:right="110"/>
              <w:rPr>
                <w:i w:val="0"/>
                <w:iCs/>
                <w:color w:val="FF0000"/>
                <w:sz w:val="20"/>
                <w:szCs w:val="20"/>
                <w:lang w:val="es-CO"/>
              </w:rPr>
            </w:pPr>
            <w:r w:rsidRPr="00DC19FF">
              <w:rPr>
                <w:i w:val="0"/>
                <w:iCs/>
                <w:color w:val="FF0000"/>
                <w:sz w:val="20"/>
                <w:szCs w:val="20"/>
              </w:rPr>
              <w:lastRenderedPageBreak/>
              <w:t xml:space="preserve">Diligencie el amparo </w:t>
            </w:r>
          </w:p>
        </w:tc>
        <w:tc>
          <w:tcPr>
            <w:tcW w:w="2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1E2327" w14:textId="6A903740" w:rsidR="00342AEA" w:rsidRPr="00DC19FF" w:rsidRDefault="00342AEA" w:rsidP="00D21ED1">
            <w:pPr>
              <w:pStyle w:val="Textoindependiente"/>
              <w:ind w:right="110"/>
              <w:rPr>
                <w:i w:val="0"/>
                <w:iCs/>
                <w:color w:val="FF0000"/>
                <w:sz w:val="20"/>
                <w:szCs w:val="20"/>
                <w:lang w:val="es-CO"/>
              </w:rPr>
            </w:pPr>
            <w:r w:rsidRPr="00DC19FF">
              <w:rPr>
                <w:i w:val="0"/>
                <w:iCs/>
                <w:color w:val="FF0000"/>
                <w:sz w:val="20"/>
                <w:szCs w:val="20"/>
              </w:rPr>
              <w:t xml:space="preserve">Diligencie el % </w:t>
            </w:r>
          </w:p>
        </w:tc>
        <w:tc>
          <w:tcPr>
            <w:tcW w:w="2195" w:type="dxa"/>
            <w:tcBorders>
              <w:top w:val="single" w:sz="8" w:space="0" w:color="000000"/>
              <w:left w:val="single" w:sz="8" w:space="0" w:color="000000"/>
              <w:bottom w:val="single" w:sz="8" w:space="0" w:color="000000"/>
              <w:right w:val="single" w:sz="8" w:space="0" w:color="000000"/>
            </w:tcBorders>
          </w:tcPr>
          <w:p w14:paraId="45378016" w14:textId="30897360" w:rsidR="00342AEA" w:rsidRPr="00DC19FF" w:rsidRDefault="00342AEA" w:rsidP="00D21ED1">
            <w:pPr>
              <w:pStyle w:val="Textoindependiente"/>
              <w:ind w:right="110"/>
              <w:rPr>
                <w:i w:val="0"/>
                <w:iCs/>
                <w:color w:val="FF0000"/>
                <w:sz w:val="20"/>
                <w:szCs w:val="20"/>
              </w:rPr>
            </w:pPr>
            <w:r w:rsidRPr="00DC19FF">
              <w:rPr>
                <w:i w:val="0"/>
                <w:iCs/>
                <w:color w:val="FF0000"/>
                <w:sz w:val="20"/>
                <w:szCs w:val="20"/>
              </w:rPr>
              <w:t>Diligencie</w:t>
            </w:r>
          </w:p>
        </w:tc>
        <w:tc>
          <w:tcPr>
            <w:tcW w:w="2729" w:type="dxa"/>
            <w:tcBorders>
              <w:top w:val="single" w:sz="8" w:space="0" w:color="000000"/>
              <w:left w:val="single" w:sz="8" w:space="0" w:color="000000"/>
              <w:bottom w:val="single" w:sz="8" w:space="0" w:color="000000"/>
              <w:right w:val="single" w:sz="8" w:space="0" w:color="000000"/>
            </w:tcBorders>
          </w:tcPr>
          <w:p w14:paraId="7D399B90" w14:textId="6CD634AF" w:rsidR="00342AEA" w:rsidRPr="00DC19FF" w:rsidRDefault="00342AEA" w:rsidP="00D21ED1">
            <w:pPr>
              <w:pStyle w:val="Textoindependiente"/>
              <w:ind w:right="110"/>
              <w:rPr>
                <w:i w:val="0"/>
                <w:iCs/>
                <w:color w:val="FF0000"/>
                <w:sz w:val="20"/>
                <w:szCs w:val="20"/>
                <w:lang w:val="es-CO"/>
              </w:rPr>
            </w:pPr>
            <w:r w:rsidRPr="00DC19FF">
              <w:rPr>
                <w:i w:val="0"/>
                <w:iCs/>
                <w:color w:val="FF0000"/>
                <w:sz w:val="20"/>
                <w:szCs w:val="20"/>
                <w:lang w:val="es-CO"/>
              </w:rPr>
              <w:t>Diligencie el tiempo de vigencia de la póliza</w:t>
            </w:r>
          </w:p>
        </w:tc>
      </w:tr>
      <w:tr w:rsidR="00342AEA" w:rsidRPr="00342AEA" w14:paraId="49604C41" w14:textId="77777777" w:rsidTr="00DC19FF">
        <w:trPr>
          <w:trHeight w:val="545"/>
        </w:trPr>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C2572B" w14:textId="670AEDDC" w:rsidR="00342AEA" w:rsidRPr="00DC19FF" w:rsidRDefault="00342AEA" w:rsidP="00D21ED1">
            <w:pPr>
              <w:pStyle w:val="Textoindependiente"/>
              <w:ind w:right="110"/>
              <w:rPr>
                <w:i w:val="0"/>
                <w:iCs/>
                <w:color w:val="FF0000"/>
                <w:sz w:val="20"/>
                <w:szCs w:val="20"/>
                <w:lang w:val="es-CO"/>
              </w:rPr>
            </w:pPr>
            <w:r w:rsidRPr="00DC19FF">
              <w:rPr>
                <w:i w:val="0"/>
                <w:iCs/>
                <w:color w:val="FF0000"/>
                <w:sz w:val="20"/>
                <w:szCs w:val="20"/>
              </w:rPr>
              <w:t>Diligencie el amparo</w:t>
            </w:r>
          </w:p>
        </w:tc>
        <w:tc>
          <w:tcPr>
            <w:tcW w:w="2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96D4DA" w14:textId="30C3E85F" w:rsidR="00342AEA" w:rsidRPr="00DC19FF" w:rsidRDefault="00342AEA" w:rsidP="00D21ED1">
            <w:pPr>
              <w:pStyle w:val="Textoindependiente"/>
              <w:ind w:right="110"/>
              <w:rPr>
                <w:i w:val="0"/>
                <w:iCs/>
                <w:color w:val="FF0000"/>
                <w:sz w:val="20"/>
                <w:szCs w:val="20"/>
                <w:lang w:val="es-CO"/>
              </w:rPr>
            </w:pPr>
            <w:r w:rsidRPr="00DC19FF">
              <w:rPr>
                <w:i w:val="0"/>
                <w:iCs/>
                <w:color w:val="FF0000"/>
                <w:sz w:val="20"/>
                <w:szCs w:val="20"/>
              </w:rPr>
              <w:t>Diligencie el %</w:t>
            </w:r>
          </w:p>
        </w:tc>
        <w:tc>
          <w:tcPr>
            <w:tcW w:w="2195" w:type="dxa"/>
            <w:tcBorders>
              <w:top w:val="single" w:sz="8" w:space="0" w:color="000000"/>
              <w:left w:val="single" w:sz="8" w:space="0" w:color="000000"/>
              <w:bottom w:val="single" w:sz="8" w:space="0" w:color="000000"/>
              <w:right w:val="single" w:sz="8" w:space="0" w:color="000000"/>
            </w:tcBorders>
          </w:tcPr>
          <w:p w14:paraId="0D708CEF" w14:textId="347F9913" w:rsidR="00342AEA" w:rsidRPr="00DC19FF" w:rsidRDefault="00342AEA" w:rsidP="00D21ED1">
            <w:pPr>
              <w:pStyle w:val="Textoindependiente"/>
              <w:ind w:right="110"/>
              <w:rPr>
                <w:i w:val="0"/>
                <w:iCs/>
                <w:color w:val="FF0000"/>
                <w:sz w:val="20"/>
                <w:szCs w:val="20"/>
              </w:rPr>
            </w:pPr>
            <w:r w:rsidRPr="00DC19FF">
              <w:rPr>
                <w:i w:val="0"/>
                <w:iCs/>
                <w:color w:val="FF0000"/>
                <w:sz w:val="20"/>
                <w:szCs w:val="20"/>
              </w:rPr>
              <w:t>Diligencie</w:t>
            </w:r>
          </w:p>
        </w:tc>
        <w:tc>
          <w:tcPr>
            <w:tcW w:w="2729" w:type="dxa"/>
            <w:tcBorders>
              <w:top w:val="single" w:sz="8" w:space="0" w:color="000000"/>
              <w:left w:val="single" w:sz="8" w:space="0" w:color="000000"/>
              <w:bottom w:val="single" w:sz="8" w:space="0" w:color="000000"/>
              <w:right w:val="single" w:sz="8" w:space="0" w:color="000000"/>
            </w:tcBorders>
          </w:tcPr>
          <w:p w14:paraId="31DB6938" w14:textId="0FFAE2F2" w:rsidR="00342AEA" w:rsidRPr="00DC19FF" w:rsidRDefault="00342AEA" w:rsidP="00D21ED1">
            <w:pPr>
              <w:pStyle w:val="Textoindependiente"/>
              <w:ind w:right="110"/>
              <w:rPr>
                <w:i w:val="0"/>
                <w:iCs/>
                <w:color w:val="FF0000"/>
                <w:sz w:val="20"/>
                <w:szCs w:val="20"/>
              </w:rPr>
            </w:pPr>
            <w:r w:rsidRPr="00DC19FF">
              <w:rPr>
                <w:i w:val="0"/>
                <w:iCs/>
                <w:color w:val="FF0000"/>
                <w:sz w:val="20"/>
                <w:szCs w:val="20"/>
                <w:lang w:val="es-CO"/>
              </w:rPr>
              <w:t>Diligencie el tiempo de vigencia de la póliza</w:t>
            </w:r>
          </w:p>
        </w:tc>
      </w:tr>
      <w:tr w:rsidR="00342AEA" w:rsidRPr="00342AEA" w14:paraId="63245225" w14:textId="77777777" w:rsidTr="00DC19FF">
        <w:trPr>
          <w:trHeight w:val="545"/>
        </w:trPr>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5A3B53" w14:textId="18C8AE4F" w:rsidR="00342AEA" w:rsidRPr="00DC19FF" w:rsidRDefault="00342AEA" w:rsidP="00D21ED1">
            <w:pPr>
              <w:pStyle w:val="Textoindependiente"/>
              <w:ind w:right="110"/>
              <w:rPr>
                <w:i w:val="0"/>
                <w:iCs/>
                <w:color w:val="FF0000"/>
                <w:sz w:val="20"/>
                <w:szCs w:val="20"/>
              </w:rPr>
            </w:pPr>
            <w:r w:rsidRPr="00DC19FF">
              <w:rPr>
                <w:i w:val="0"/>
                <w:iCs/>
                <w:color w:val="FF0000"/>
                <w:sz w:val="20"/>
                <w:szCs w:val="20"/>
              </w:rPr>
              <w:t>Diligencie el amparo</w:t>
            </w:r>
          </w:p>
        </w:tc>
        <w:tc>
          <w:tcPr>
            <w:tcW w:w="2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A28D3C" w14:textId="7AF2CF86" w:rsidR="00342AEA" w:rsidRPr="00DC19FF" w:rsidRDefault="00342AEA" w:rsidP="00D21ED1">
            <w:pPr>
              <w:pStyle w:val="Textoindependiente"/>
              <w:ind w:right="110"/>
              <w:rPr>
                <w:i w:val="0"/>
                <w:iCs/>
                <w:color w:val="FF0000"/>
                <w:sz w:val="20"/>
                <w:szCs w:val="20"/>
              </w:rPr>
            </w:pPr>
            <w:r w:rsidRPr="00DC19FF">
              <w:rPr>
                <w:i w:val="0"/>
                <w:iCs/>
                <w:color w:val="FF0000"/>
                <w:sz w:val="20"/>
                <w:szCs w:val="20"/>
              </w:rPr>
              <w:t>Diligencie el %</w:t>
            </w:r>
          </w:p>
        </w:tc>
        <w:tc>
          <w:tcPr>
            <w:tcW w:w="2195" w:type="dxa"/>
            <w:tcBorders>
              <w:top w:val="single" w:sz="8" w:space="0" w:color="000000"/>
              <w:left w:val="single" w:sz="8" w:space="0" w:color="000000"/>
              <w:bottom w:val="single" w:sz="8" w:space="0" w:color="000000"/>
              <w:right w:val="single" w:sz="8" w:space="0" w:color="000000"/>
            </w:tcBorders>
          </w:tcPr>
          <w:p w14:paraId="15110579" w14:textId="55732C75" w:rsidR="00342AEA" w:rsidRPr="00DC19FF" w:rsidRDefault="00342AEA" w:rsidP="00D21ED1">
            <w:pPr>
              <w:pStyle w:val="Textoindependiente"/>
              <w:ind w:right="110"/>
              <w:rPr>
                <w:i w:val="0"/>
                <w:iCs/>
                <w:color w:val="FF0000"/>
                <w:sz w:val="20"/>
                <w:szCs w:val="20"/>
              </w:rPr>
            </w:pPr>
            <w:r w:rsidRPr="00DC19FF">
              <w:rPr>
                <w:i w:val="0"/>
                <w:iCs/>
                <w:color w:val="FF0000"/>
                <w:sz w:val="20"/>
                <w:szCs w:val="20"/>
              </w:rPr>
              <w:t>Diligencie</w:t>
            </w:r>
          </w:p>
        </w:tc>
        <w:tc>
          <w:tcPr>
            <w:tcW w:w="2729" w:type="dxa"/>
            <w:tcBorders>
              <w:top w:val="single" w:sz="8" w:space="0" w:color="000000"/>
              <w:left w:val="single" w:sz="8" w:space="0" w:color="000000"/>
              <w:bottom w:val="single" w:sz="8" w:space="0" w:color="000000"/>
              <w:right w:val="single" w:sz="8" w:space="0" w:color="000000"/>
            </w:tcBorders>
          </w:tcPr>
          <w:p w14:paraId="490BC228" w14:textId="253985EC" w:rsidR="00342AEA" w:rsidRPr="00DC19FF" w:rsidRDefault="00342AEA" w:rsidP="00D21ED1">
            <w:pPr>
              <w:pStyle w:val="Textoindependiente"/>
              <w:ind w:right="110"/>
              <w:rPr>
                <w:i w:val="0"/>
                <w:iCs/>
                <w:color w:val="FF0000"/>
                <w:sz w:val="20"/>
                <w:szCs w:val="20"/>
                <w:lang w:val="es-CO"/>
              </w:rPr>
            </w:pPr>
            <w:r w:rsidRPr="00DC19FF">
              <w:rPr>
                <w:i w:val="0"/>
                <w:iCs/>
                <w:color w:val="FF0000"/>
                <w:sz w:val="20"/>
                <w:szCs w:val="20"/>
                <w:lang w:val="es-CO"/>
              </w:rPr>
              <w:t>Diligencie el tiempo de vigencia de la póliza</w:t>
            </w:r>
          </w:p>
        </w:tc>
      </w:tr>
    </w:tbl>
    <w:p w14:paraId="03703893" w14:textId="7C684ECE" w:rsidR="00342AEA" w:rsidRDefault="00342AEA" w:rsidP="00342AEA">
      <w:pPr>
        <w:ind w:left="-5"/>
        <w:jc w:val="both"/>
      </w:pPr>
      <w:r>
        <w:rPr>
          <w:b/>
        </w:rPr>
        <w:t>CLÁUSULA DECIMA. - PROHIBICIÓN DE CESIÓN: EL CONTRATISTA</w:t>
      </w:r>
      <w:r>
        <w:t xml:space="preserve"> no podrá ceder este contrato a persona alguna natural o jurídica, Nacional o extranjera, sin el consentimiento previo y escrito de la U.A.E</w:t>
      </w:r>
      <w:r w:rsidR="00DC19FF">
        <w:t>.</w:t>
      </w:r>
      <w:r>
        <w:t xml:space="preserve"> Contaduría General de la Nación. </w:t>
      </w:r>
      <w:r>
        <w:rPr>
          <w:b/>
        </w:rPr>
        <w:t>CLÁUSULA DÉCIMA PRIMERA. - EXCLUSIÓN DE RELACIÓN LABORAL:</w:t>
      </w:r>
      <w:r>
        <w:t xml:space="preserve"> En razón a que el CONTRATISTA actúa con plena autonomía intelectual, profesional, conceptual, técnica y administrativa y sin ninguna clase de subordinación frente a la U.A.E. Contaduría General de la Nación, se excluye cualquier vínculo de tipo laboral entre la entidad y el CONTRATISTA o su personal. </w:t>
      </w:r>
      <w:r>
        <w:rPr>
          <w:b/>
        </w:rPr>
        <w:t>CLÁUSULA DÉCIMA SEGUNDA. - AFILIACIÓN AL SISTEMA DE PENSIÓN Y SALUD:</w:t>
      </w:r>
      <w:r>
        <w:t xml:space="preserve"> </w:t>
      </w:r>
      <w:r>
        <w:rPr>
          <w:b/>
        </w:rPr>
        <w:t>AFILIACIÓN AL SISTEMA DE SEGURIDAD SOCIAL Y PARAFISCALES.</w:t>
      </w:r>
      <w:r>
        <w:t xml:space="preserve"> El contratista deberá encontrarse al día con los pagos al sistema de Seguridad Social integral y parafiscales, así como los de la Caja de Compensación Familiar, Servicio Nacional de </w:t>
      </w:r>
      <w:r w:rsidR="00DC19FF">
        <w:t>A</w:t>
      </w:r>
      <w:r>
        <w:t xml:space="preserve">prendizaje SENA, de conformidad </w:t>
      </w:r>
      <w:r w:rsidR="00DC19FF">
        <w:t xml:space="preserve">con </w:t>
      </w:r>
      <w:r>
        <w:t>lo establec</w:t>
      </w:r>
      <w:r w:rsidR="00DC19FF">
        <w:t>ido</w:t>
      </w:r>
      <w:r>
        <w:t xml:space="preserve"> el </w:t>
      </w:r>
      <w:r w:rsidR="00DC19FF">
        <w:t>a</w:t>
      </w:r>
      <w:r>
        <w:t xml:space="preserve">rtículo 50 de la </w:t>
      </w:r>
      <w:r w:rsidR="00DC19FF">
        <w:t>L</w:t>
      </w:r>
      <w:r>
        <w:t>ey 789 del 2002,</w:t>
      </w:r>
      <w:r>
        <w:rPr>
          <w:b/>
        </w:rPr>
        <w:t xml:space="preserve"> </w:t>
      </w:r>
      <w:r>
        <w:rPr>
          <w:highlight w:val="white"/>
        </w:rPr>
        <w:t>teniendo en cuenta que es un requisito para la ejecución de los contratos estatales (Ley 80 de 1993)</w:t>
      </w:r>
      <w:r>
        <w:t xml:space="preserve">. </w:t>
      </w:r>
      <w:r>
        <w:rPr>
          <w:b/>
        </w:rPr>
        <w:t>CLÁUSULA DÉCIMA TERCERA - SUSPENSIÓN TEMPORAL DEL CONTRATO:</w:t>
      </w:r>
      <w:r>
        <w:t xml:space="preserve"> De común acuerdo las partes contratantes podrán suspender la ejecución de este contrato, mediante la suscripción de un acta en la cual conste el evento sin que para efectos del término de duración del contrato se compute el tiempo de la suspensión. </w:t>
      </w:r>
      <w:r>
        <w:rPr>
          <w:b/>
        </w:rPr>
        <w:t>CLÁUSULA DÉCIMA CUARTA- CAUSALES DE TERMINACIÓN:</w:t>
      </w:r>
      <w:r>
        <w:t xml:space="preserve"> Este contrato podrá terminarse en cualquiera de los siguientes eventos: 1) Por mutuo acuerdo de las partes. 2) Por agotamiento del objeto o vencimiento del plazo de ejecución. 3) Por fuerza mayor o caso fortuito que hagan imposible continuar su ejecución. </w:t>
      </w:r>
      <w:r>
        <w:rPr>
          <w:b/>
        </w:rPr>
        <w:t>PARÁGRAFO:</w:t>
      </w:r>
      <w:r>
        <w:t xml:space="preserve"> La terminación anticipada del contrato se hará constar en acta suscrita por las partes. En cualquiera de los eventos de terminación, se procederá a liquidar el contrato. </w:t>
      </w:r>
      <w:r>
        <w:rPr>
          <w:b/>
        </w:rPr>
        <w:t>CLÁUSULA DÉCIMA QUINTA - LIQUIDACIÓN:</w:t>
      </w:r>
      <w:r>
        <w:t xml:space="preserve"> La liquidación de este contrato se regirá por lo previsto en el artículo 60 de la Ley 80 de 1993, modificado por el artículo 11 de la Ley 1150 de 2007 y por el artículo 217 del Decreto 019 del 2012. </w:t>
      </w:r>
      <w:r>
        <w:rPr>
          <w:b/>
        </w:rPr>
        <w:t>CLÁUSULA DÉCIMA SEXTA - CLÁUSULAS EXCEPCIONALES:</w:t>
      </w:r>
      <w:r>
        <w:t xml:space="preserve"> Por estipulación expresa se incluyen las cláusulas de terminación, modificación, interpretaciones unilaterales, y caducidad del </w:t>
      </w:r>
      <w:r>
        <w:lastRenderedPageBreak/>
        <w:t xml:space="preserve">contrato previstas en la Ley 80 de 1993, artículo 14 numeral 2. </w:t>
      </w:r>
      <w:r>
        <w:rPr>
          <w:b/>
        </w:rPr>
        <w:t>CLÁUSULA DÉCIMA SÉPTIMA CLÁUSULA COMPROMISORIA:</w:t>
      </w:r>
      <w:r>
        <w:t xml:space="preserve"> Las partes acuerdan someter a la decisión de árbitros, las diferencias que puedan surgir por razón de la celebración del contrato y de su ejecución, desarrollo, terminación o liquidación, para lo cual se someterán a lo dispuesto en el artículo 70 y siguientes de la Ley 80 de 1993, artículo 22 de la Ley 1150 de 2007. </w:t>
      </w:r>
      <w:r>
        <w:rPr>
          <w:b/>
        </w:rPr>
        <w:t>CLÁUSULA DÉCIMA OCTAVA - RÉGIMEN LEGAL APLICABLE Y JURISDICCIÓN:</w:t>
      </w:r>
      <w:r>
        <w:t xml:space="preserve"> Este contrato </w:t>
      </w:r>
      <w:r w:rsidRPr="00B64055">
        <w:t xml:space="preserve">se rige por la Ley 80 de 1993, la Ley 1150 de 2007, </w:t>
      </w:r>
      <w:r w:rsidR="00DC19FF" w:rsidRPr="00B64055">
        <w:t>e</w:t>
      </w:r>
      <w:r w:rsidRPr="00B64055">
        <w:t>l Decreto 1082 de 2015 sus decretos reglamentarios y las demás normas que las modifiquen complementen y sustituyan y a falta de regulación expresa, por las normas de</w:t>
      </w:r>
      <w:r w:rsidR="004E1C31" w:rsidRPr="00B64055">
        <w:t>l</w:t>
      </w:r>
      <w:r w:rsidRPr="00B64055">
        <w:t xml:space="preserve"> Código de Comercio y </w:t>
      </w:r>
      <w:r w:rsidR="004E1C31" w:rsidRPr="00B64055">
        <w:t xml:space="preserve">del Código </w:t>
      </w:r>
      <w:r w:rsidRPr="00B64055">
        <w:t>Civil Colombiano. Las eventuales controversias que surjan de la celebración, ejecución, terminación o liquidación del contrato</w:t>
      </w:r>
      <w:r>
        <w:t xml:space="preserve"> y no se puedan resolver en los términos previstos en el artículo 68 de la Ley 80 de 1993, serán competencia de la jurisdicción Contencioso-Administrativa. </w:t>
      </w:r>
      <w:r>
        <w:rPr>
          <w:b/>
        </w:rPr>
        <w:t>CLÁUSULA DÉCIMA NOVENA- INHABILIDADES E INCOMPATIBILIDADES:</w:t>
      </w:r>
      <w:r>
        <w:t xml:space="preserve"> El CONTRATISTA afirma</w:t>
      </w:r>
      <w:r w:rsidR="00DC19FF">
        <w:t>,</w:t>
      </w:r>
      <w:r>
        <w:t xml:space="preserve"> bajo la gravedad de juramento</w:t>
      </w:r>
      <w:r w:rsidR="00DC19FF">
        <w:t>,</w:t>
      </w:r>
      <w:r>
        <w:t xml:space="preserve"> que se entiende prestado con la firma del contrato, no encontrarse incurso en ninguna de las causales de inhabilidad y/o incompatibilidad que tratan los artículos 8º de la Ley 80 de 1993 y los artículos 1 al 4 de la Ley 1474 de 2011, y si llegare a sobrevenir inhabilidad y/o incompatibilidad, se decidirá de conformidad con lo establecido en el artículo 9º de la ley 80 de 1993. </w:t>
      </w:r>
      <w:r>
        <w:rPr>
          <w:b/>
        </w:rPr>
        <w:t>CLÁUSULA VIGÉSIMA. - IMPUESTOS:</w:t>
      </w:r>
      <w:r>
        <w:t xml:space="preserve"> Los impuestos y las contribuciones a la seguridad social que se causen por razón o con ocasión de este contrato serán por cuenta del CONTRATISTA, y las retenciones que ordene la ley en relación con sus honorarios serán practicadas por la U.A.E</w:t>
      </w:r>
      <w:r w:rsidR="00DC19FF">
        <w:t>.</w:t>
      </w:r>
      <w:r>
        <w:t xml:space="preserve"> CONTADURÍA GENERAL DE LA NACIÓN. </w:t>
      </w:r>
      <w:r>
        <w:rPr>
          <w:b/>
        </w:rPr>
        <w:t>CLÁUSULA VIGÉSIMA PRIMERA. – PROPIEDAD INTELECTUAL:</w:t>
      </w:r>
      <w:r>
        <w:t xml:space="preserve"> Si de la ejecución del presente contrato resultaren documentos, investigaciones, descubrimientos, invenciones, informes, mejoras, invención de sistemas de software y sus subsistemas, éstos pertenecerán a la Contaduría General de la Nación, de conformidad con lo establecido en el artículo 20º de la Ley 23 de 1982, modificado por el artículo 28º de la Ley 1450 de 2011. Asímismo</w:t>
      </w:r>
      <w:r w:rsidR="00DC19FF">
        <w:t>,</w:t>
      </w:r>
      <w:r>
        <w:t xml:space="preserve"> el CONTRATISTA garantiza que los trabajos y servicios prestados a la Contaduría General de la Nación en cumplimiento del objeto de este contrato, no infringen ni vulneran los derechos de propiedad intelectual o industrial o cualesquiera otros derechos legales o contractuales de terceros. </w:t>
      </w:r>
      <w:r>
        <w:rPr>
          <w:b/>
        </w:rPr>
        <w:t>CLÁUSULA VIGÉSIMA SEGUNDA. – CONFIDENCIALIDAD:</w:t>
      </w:r>
      <w:r>
        <w:t xml:space="preserve"> Ley 1273 de 2009, </w:t>
      </w:r>
      <w:r w:rsidRPr="00DC19FF">
        <w:rPr>
          <w:i/>
          <w:iCs/>
        </w:rPr>
        <w:t>“Por medio de la cual se modifica el Código Penal, se crea un nuevo bien jurídico tutelado - denominado"</w:t>
      </w:r>
      <w:r>
        <w:t xml:space="preserve"> de la protección de la información y de los datos y se preservan integralmente los sistemas que utilicen las tecnologías de la información y las comunicaciones, entre otras disposiciones”. En razón al contrato que se pretende realizar, las partes contratantes acuerdan de manera voluntaria el suscribir un acuerdo de confidencialidad junto con el contrato con el fin de no divulgar, usar o explotar </w:t>
      </w:r>
      <w:r>
        <w:lastRenderedPageBreak/>
        <w:t xml:space="preserve">indebidamente la información confidencial o privada a la que tenga acceso en virtud de la ejecución del contrato o en desarrollo de una labor determinada que sobrevenga como consecuencia del </w:t>
      </w:r>
      <w:r w:rsidRPr="00B64055">
        <w:t>giro ordinario de la ejecución del mismo, en aras de garantizar la protección de la información confidencial y salvaguardar los intereses estratégicos de la entidad. Esta disposición estará vigente durante la ejecución del contrato y diez (10) años más</w:t>
      </w:r>
      <w:r w:rsidR="00165791" w:rsidRPr="00B64055">
        <w:t>, así la relación contractual entre las partes haya finalizado</w:t>
      </w:r>
      <w:r w:rsidRPr="00B64055">
        <w:t xml:space="preserve">. El Acuerdo de Confidencialidad se suscribirá al momento de firmar el contrato. </w:t>
      </w:r>
      <w:r w:rsidRPr="00B64055">
        <w:rPr>
          <w:b/>
          <w:i/>
          <w:color w:val="222222"/>
        </w:rPr>
        <w:t xml:space="preserve">CLÁUSULA </w:t>
      </w:r>
      <w:r w:rsidRPr="00B64055">
        <w:rPr>
          <w:b/>
        </w:rPr>
        <w:t>VIGÉSIMA TERCERA</w:t>
      </w:r>
      <w:r w:rsidRPr="00B64055">
        <w:rPr>
          <w:b/>
          <w:i/>
          <w:color w:val="222222"/>
        </w:rPr>
        <w:t xml:space="preserve"> – “INDEMNIDAD: </w:t>
      </w:r>
      <w:r w:rsidRPr="00B64055">
        <w:rPr>
          <w:color w:val="222222"/>
        </w:rPr>
        <w:t>EL CONTRATISTA mantendrá indemne a la U</w:t>
      </w:r>
      <w:r w:rsidR="00165791" w:rsidRPr="00B64055">
        <w:rPr>
          <w:color w:val="222222"/>
        </w:rPr>
        <w:t>.</w:t>
      </w:r>
      <w:r w:rsidRPr="00B64055">
        <w:rPr>
          <w:color w:val="222222"/>
        </w:rPr>
        <w:t>A</w:t>
      </w:r>
      <w:r w:rsidR="00165791" w:rsidRPr="00B64055">
        <w:rPr>
          <w:color w:val="222222"/>
        </w:rPr>
        <w:t>.</w:t>
      </w:r>
      <w:r w:rsidRPr="00B64055">
        <w:rPr>
          <w:color w:val="222222"/>
        </w:rPr>
        <w:t>E</w:t>
      </w:r>
      <w:r w:rsidR="00165791" w:rsidRPr="00B64055">
        <w:rPr>
          <w:color w:val="222222"/>
        </w:rPr>
        <w:t>.</w:t>
      </w:r>
      <w:r w:rsidRPr="00B64055">
        <w:rPr>
          <w:color w:val="222222"/>
        </w:rPr>
        <w:t xml:space="preserve"> </w:t>
      </w:r>
      <w:r w:rsidR="00165791" w:rsidRPr="00B64055">
        <w:rPr>
          <w:color w:val="222222"/>
        </w:rPr>
        <w:t xml:space="preserve">Contaduría General de la Nación </w:t>
      </w:r>
      <w:r w:rsidRPr="00B64055">
        <w:rPr>
          <w:color w:val="222222"/>
        </w:rPr>
        <w:t>contra</w:t>
      </w:r>
      <w:r>
        <w:rPr>
          <w:color w:val="222222"/>
        </w:rPr>
        <w:t xml:space="preserve"> todo reclamo, demanda, acción legal, y costos que puedan causarse o surgir por daños o lesiones a personas o propiedades de terceros, que se ocasionen durante la ejecución del objeto de este contrato. En caso de que se instaure demanda o acción legal alguna, o se formule reclamo contra la U</w:t>
      </w:r>
      <w:r w:rsidR="00165791">
        <w:rPr>
          <w:color w:val="222222"/>
        </w:rPr>
        <w:t>.</w:t>
      </w:r>
      <w:r>
        <w:rPr>
          <w:color w:val="222222"/>
        </w:rPr>
        <w:t>A</w:t>
      </w:r>
      <w:r w:rsidR="00165791">
        <w:rPr>
          <w:color w:val="222222"/>
        </w:rPr>
        <w:t>.</w:t>
      </w:r>
      <w:r>
        <w:rPr>
          <w:color w:val="222222"/>
        </w:rPr>
        <w:t>E</w:t>
      </w:r>
      <w:r w:rsidR="00165791">
        <w:rPr>
          <w:color w:val="222222"/>
        </w:rPr>
        <w:t>.</w:t>
      </w:r>
      <w:r>
        <w:rPr>
          <w:color w:val="222222"/>
        </w:rPr>
        <w:t xml:space="preserve"> Contaduría General de la Nación, por asuntos, que según el contrato sean de responsabilidad de EL CONTRATISTA, </w:t>
      </w:r>
      <w:r w:rsidR="00165791">
        <w:rPr>
          <w:color w:val="222222"/>
        </w:rPr>
        <w:t xml:space="preserve">la U.A.E. </w:t>
      </w:r>
      <w:r w:rsidR="004E1C31">
        <w:rPr>
          <w:color w:val="222222"/>
        </w:rPr>
        <w:t xml:space="preserve">Contaduría General de la Nación </w:t>
      </w:r>
      <w:r>
        <w:rPr>
          <w:color w:val="222222"/>
        </w:rPr>
        <w:t xml:space="preserve">se lo comunicará lo más pronto posible para que por su cuenta adopte oportunamente las medidas pertinentes previstas por la </w:t>
      </w:r>
      <w:r w:rsidR="00165791">
        <w:rPr>
          <w:color w:val="222222"/>
        </w:rPr>
        <w:t>l</w:t>
      </w:r>
      <w:r>
        <w:rPr>
          <w:color w:val="222222"/>
        </w:rPr>
        <w:t xml:space="preserve">ey para mantener indemne a </w:t>
      </w:r>
      <w:r w:rsidR="00165791">
        <w:rPr>
          <w:color w:val="222222"/>
        </w:rPr>
        <w:t xml:space="preserve">la U.A.E. </w:t>
      </w:r>
      <w:r w:rsidR="004E1C31">
        <w:rPr>
          <w:color w:val="222222"/>
        </w:rPr>
        <w:t xml:space="preserve">Contaduría General de la Nación </w:t>
      </w:r>
      <w:r>
        <w:rPr>
          <w:color w:val="222222"/>
        </w:rPr>
        <w:t xml:space="preserve">y adelante los trámites para llegar a un arreglo del conflicto. Si en cualquiera de los eventos previstos en esta cláusula, EL CONTRATISTA no asume debida y oportunamente la defensa de los intereses de </w:t>
      </w:r>
      <w:r w:rsidR="00165791">
        <w:rPr>
          <w:color w:val="222222"/>
        </w:rPr>
        <w:t>la</w:t>
      </w:r>
      <w:r>
        <w:rPr>
          <w:color w:val="222222"/>
        </w:rPr>
        <w:t xml:space="preserve"> U</w:t>
      </w:r>
      <w:r w:rsidR="00165791">
        <w:rPr>
          <w:color w:val="222222"/>
        </w:rPr>
        <w:t>.</w:t>
      </w:r>
      <w:r>
        <w:rPr>
          <w:color w:val="222222"/>
        </w:rPr>
        <w:t>A</w:t>
      </w:r>
      <w:r w:rsidR="00165791">
        <w:rPr>
          <w:color w:val="222222"/>
        </w:rPr>
        <w:t>.</w:t>
      </w:r>
      <w:r>
        <w:rPr>
          <w:color w:val="222222"/>
        </w:rPr>
        <w:t>E</w:t>
      </w:r>
      <w:r w:rsidR="00165791">
        <w:rPr>
          <w:color w:val="222222"/>
        </w:rPr>
        <w:t>.</w:t>
      </w:r>
      <w:r>
        <w:rPr>
          <w:color w:val="222222"/>
        </w:rPr>
        <w:t xml:space="preserve"> </w:t>
      </w:r>
      <w:r w:rsidR="004E1C31">
        <w:rPr>
          <w:color w:val="222222"/>
        </w:rPr>
        <w:t>Contaduría General de la Nación</w:t>
      </w:r>
      <w:r>
        <w:rPr>
          <w:color w:val="222222"/>
        </w:rPr>
        <w:t xml:space="preserve">, este podrá hacerlo directamente, previa notificación escrita a EL CONTRATISTA y este último pagará todos los gastos en que LA </w:t>
      </w:r>
      <w:r w:rsidR="00165791">
        <w:rPr>
          <w:color w:val="222222"/>
        </w:rPr>
        <w:t xml:space="preserve">U.A.E. </w:t>
      </w:r>
      <w:r w:rsidR="004E1C31">
        <w:rPr>
          <w:color w:val="222222"/>
        </w:rPr>
        <w:t xml:space="preserve">Contaduría General de la Nación </w:t>
      </w:r>
      <w:r>
        <w:rPr>
          <w:color w:val="222222"/>
        </w:rPr>
        <w:t xml:space="preserve">incurra por tal motivo. </w:t>
      </w:r>
      <w:r>
        <w:t xml:space="preserve"> </w:t>
      </w:r>
      <w:r>
        <w:rPr>
          <w:b/>
        </w:rPr>
        <w:t>CLÁUSULA VIGÉSIMA CUARTA. - PERFECCIONAMIENTO Y LEGALIZACIÓN:</w:t>
      </w:r>
      <w:r>
        <w:t xml:space="preserve"> El presente contrato se entiende perfeccionado con la firma de las partes y hace parte integral del presente clausulado el estudio previo. </w:t>
      </w:r>
      <w:r>
        <w:rPr>
          <w:b/>
        </w:rPr>
        <w:t>CLÁUSULA VIGÉSIMA QUINTA- REQUISITOS DE EJECUCIÓN:</w:t>
      </w:r>
      <w:r>
        <w:t xml:space="preserve"> Perfeccionado este contrato, para su ejecución será necesario: 1) La expedición del registro presupuestal definitivo. 2) La aprobación de las pólizas de cumplimiento y responsabilidad civil extracontractual</w:t>
      </w:r>
      <w:r w:rsidR="00165791">
        <w:t>,</w:t>
      </w:r>
      <w:r>
        <w:t xml:space="preserve"> si a ellas hay lugar. 3) La Suscripción del acta de inicio por parte del supervisor del presente contrato y EL CONTRATISTA. </w:t>
      </w:r>
    </w:p>
    <w:p w14:paraId="03371ECC" w14:textId="77777777" w:rsidR="00342AEA" w:rsidRDefault="00342AEA" w:rsidP="00342AEA">
      <w:pPr>
        <w:spacing w:line="259" w:lineRule="auto"/>
        <w:jc w:val="both"/>
        <w:rPr>
          <w:i/>
        </w:rPr>
      </w:pPr>
    </w:p>
    <w:p w14:paraId="74A51ED8" w14:textId="77777777" w:rsidR="00342AEA" w:rsidRDefault="00342AEA" w:rsidP="00342AEA">
      <w:pPr>
        <w:spacing w:line="259" w:lineRule="auto"/>
        <w:jc w:val="both"/>
        <w:rPr>
          <w:i/>
        </w:rPr>
      </w:pPr>
    </w:p>
    <w:p w14:paraId="7D9D4126" w14:textId="77777777" w:rsidR="00342AEA" w:rsidRDefault="00342AEA" w:rsidP="00342AEA">
      <w:pPr>
        <w:widowControl w:val="0"/>
        <w:pBdr>
          <w:top w:val="nil"/>
          <w:left w:val="nil"/>
          <w:bottom w:val="nil"/>
          <w:right w:val="nil"/>
          <w:between w:val="nil"/>
        </w:pBdr>
        <w:jc w:val="center"/>
        <w:rPr>
          <w:bCs/>
          <w:color w:val="000000"/>
        </w:rPr>
      </w:pPr>
      <w:r w:rsidRPr="00165791">
        <w:rPr>
          <w:bCs/>
          <w:color w:val="000000"/>
        </w:rPr>
        <w:t>(ESTE DOCUMENTO ES APROBADO POR MEDIO DE LA PLATAFORMA SECOP II)</w:t>
      </w:r>
    </w:p>
    <w:p w14:paraId="407F0E02" w14:textId="77777777" w:rsidR="00165791" w:rsidRPr="00165791" w:rsidRDefault="00165791" w:rsidP="00342AEA">
      <w:pPr>
        <w:widowControl w:val="0"/>
        <w:pBdr>
          <w:top w:val="nil"/>
          <w:left w:val="nil"/>
          <w:bottom w:val="nil"/>
          <w:right w:val="nil"/>
          <w:between w:val="nil"/>
        </w:pBdr>
        <w:jc w:val="center"/>
        <w:rPr>
          <w:bCs/>
          <w:color w:val="000000"/>
        </w:rPr>
      </w:pPr>
    </w:p>
    <w:p w14:paraId="7B0B95E9" w14:textId="11D3FD40" w:rsidR="00165791" w:rsidRDefault="00165791" w:rsidP="00165791">
      <w:pPr>
        <w:widowControl w:val="0"/>
        <w:pBdr>
          <w:top w:val="nil"/>
          <w:left w:val="nil"/>
          <w:bottom w:val="nil"/>
          <w:right w:val="nil"/>
          <w:between w:val="nil"/>
        </w:pBdr>
        <w:jc w:val="both"/>
        <w:rPr>
          <w:b/>
          <w:color w:val="000000"/>
        </w:rPr>
      </w:pPr>
      <w:r>
        <w:rPr>
          <w:b/>
          <w:color w:val="000000"/>
        </w:rPr>
        <w:t xml:space="preserve">Convención: </w:t>
      </w:r>
    </w:p>
    <w:p w14:paraId="6CE8CFE3" w14:textId="54013CF7" w:rsidR="00165791" w:rsidRDefault="00165791" w:rsidP="00165791">
      <w:pPr>
        <w:pBdr>
          <w:top w:val="nil"/>
          <w:left w:val="nil"/>
          <w:bottom w:val="nil"/>
          <w:right w:val="nil"/>
          <w:between w:val="nil"/>
        </w:pBdr>
        <w:jc w:val="both"/>
        <w:rPr>
          <w:color w:val="000000"/>
        </w:rPr>
      </w:pPr>
      <w:r w:rsidRPr="00165791">
        <w:rPr>
          <w:b/>
          <w:bCs/>
          <w:color w:val="FF0000"/>
          <w:sz w:val="24"/>
          <w:szCs w:val="24"/>
        </w:rPr>
        <w:t>*</w:t>
      </w:r>
      <w:r>
        <w:rPr>
          <w:color w:val="000000"/>
        </w:rPr>
        <w:t xml:space="preserve"> Las letras en color </w:t>
      </w:r>
      <w:r w:rsidRPr="008F78DE">
        <w:rPr>
          <w:color w:val="FF0000"/>
        </w:rPr>
        <w:t>rojo</w:t>
      </w:r>
      <w:r>
        <w:rPr>
          <w:color w:val="000000"/>
        </w:rPr>
        <w:t xml:space="preserve"> indican los espacios que deben ser diligenciados por las partes</w:t>
      </w:r>
    </w:p>
    <w:p w14:paraId="5AED5C7C" w14:textId="77777777" w:rsidR="004E1C31" w:rsidRPr="00165791" w:rsidRDefault="004E1C31" w:rsidP="00165791">
      <w:pPr>
        <w:pBdr>
          <w:top w:val="nil"/>
          <w:left w:val="nil"/>
          <w:bottom w:val="nil"/>
          <w:right w:val="nil"/>
          <w:between w:val="nil"/>
        </w:pBdr>
        <w:jc w:val="both"/>
        <w:rPr>
          <w:color w:val="000000"/>
        </w:rPr>
      </w:pPr>
    </w:p>
    <w:sectPr w:rsidR="004E1C31" w:rsidRPr="00165791">
      <w:headerReference w:type="default" r:id="rId8"/>
      <w:footerReference w:type="default" r:id="rId9"/>
      <w:pgSz w:w="12240" w:h="15840"/>
      <w:pgMar w:top="1418" w:right="1134" w:bottom="1418" w:left="1134" w:header="284" w:footer="126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9F43F" w14:textId="77777777" w:rsidR="00B92D27" w:rsidRDefault="00B92D27">
      <w:r>
        <w:separator/>
      </w:r>
    </w:p>
  </w:endnote>
  <w:endnote w:type="continuationSeparator" w:id="0">
    <w:p w14:paraId="4058D557" w14:textId="77777777" w:rsidR="00B92D27" w:rsidRDefault="00B9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D3649" w14:textId="7D517C51" w:rsidR="0072751D" w:rsidRDefault="00B90650">
    <w:pPr>
      <w:pBdr>
        <w:top w:val="nil"/>
        <w:left w:val="nil"/>
        <w:bottom w:val="nil"/>
        <w:right w:val="nil"/>
        <w:between w:val="nil"/>
      </w:pBdr>
      <w:tabs>
        <w:tab w:val="center" w:pos="4419"/>
        <w:tab w:val="right" w:pos="8838"/>
      </w:tabs>
      <w:rPr>
        <w:color w:val="000000"/>
      </w:rPr>
    </w:pPr>
    <w:r>
      <w:rPr>
        <w:i/>
        <w:iCs/>
        <w:noProof/>
        <w:lang w:val="es-ES"/>
      </w:rPr>
      <w:drawing>
        <wp:anchor distT="0" distB="0" distL="114300" distR="114300" simplePos="0" relativeHeight="251659264" behindDoc="1" locked="0" layoutInCell="1" allowOverlap="1" wp14:anchorId="3A1B3686" wp14:editId="184A5906">
          <wp:simplePos x="0" y="0"/>
          <wp:positionH relativeFrom="page">
            <wp:posOffset>34290</wp:posOffset>
          </wp:positionH>
          <wp:positionV relativeFrom="paragraph">
            <wp:posOffset>114300</wp:posOffset>
          </wp:positionV>
          <wp:extent cx="7737436" cy="796681"/>
          <wp:effectExtent l="0" t="0" r="0" b="3810"/>
          <wp:wrapNone/>
          <wp:docPr id="876000546"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00546" name="Imagen 2"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37436" cy="796681"/>
                  </a:xfrm>
                  <a:prstGeom prst="rect">
                    <a:avLst/>
                  </a:prstGeom>
                </pic:spPr>
              </pic:pic>
            </a:graphicData>
          </a:graphic>
          <wp14:sizeRelH relativeFrom="page">
            <wp14:pctWidth>0</wp14:pctWidth>
          </wp14:sizeRelH>
          <wp14:sizeRelV relativeFrom="page">
            <wp14:pctHeight>0</wp14:pctHeight>
          </wp14:sizeRelV>
        </wp:anchor>
      </w:drawing>
    </w:r>
  </w:p>
  <w:p w14:paraId="45B862AA" w14:textId="77777777" w:rsidR="0072751D" w:rsidRDefault="0072751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688E9" w14:textId="77777777" w:rsidR="00B92D27" w:rsidRDefault="00B92D27">
      <w:r>
        <w:separator/>
      </w:r>
    </w:p>
  </w:footnote>
  <w:footnote w:type="continuationSeparator" w:id="0">
    <w:p w14:paraId="7E72DB25" w14:textId="77777777" w:rsidR="00B92D27" w:rsidRDefault="00B92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ACC00" w14:textId="77777777" w:rsidR="0072751D" w:rsidRDefault="0072751D">
    <w:pPr>
      <w:widowControl w:val="0"/>
      <w:pBdr>
        <w:top w:val="nil"/>
        <w:left w:val="nil"/>
        <w:bottom w:val="nil"/>
        <w:right w:val="nil"/>
        <w:between w:val="nil"/>
      </w:pBdr>
      <w:spacing w:line="276" w:lineRule="auto"/>
      <w:rPr>
        <w:rFonts w:ascii="Calibri" w:eastAsia="Calibri" w:hAnsi="Calibri" w:cs="Calibri"/>
        <w:color w:val="000000"/>
        <w:sz w:val="16"/>
        <w:szCs w:val="16"/>
      </w:rPr>
    </w:pPr>
  </w:p>
  <w:tbl>
    <w:tblPr>
      <w:tblW w:w="5000" w:type="pct"/>
      <w:tblCellMar>
        <w:left w:w="70" w:type="dxa"/>
        <w:right w:w="70" w:type="dxa"/>
      </w:tblCellMar>
      <w:tblLook w:val="04A0" w:firstRow="1" w:lastRow="0" w:firstColumn="1" w:lastColumn="0" w:noHBand="0" w:noVBand="1"/>
    </w:tblPr>
    <w:tblGrid>
      <w:gridCol w:w="3151"/>
      <w:gridCol w:w="2463"/>
      <w:gridCol w:w="2292"/>
      <w:gridCol w:w="2066"/>
    </w:tblGrid>
    <w:tr w:rsidR="00B90650" w:rsidRPr="00D90F17" w14:paraId="7D91E22B" w14:textId="77777777" w:rsidTr="00D21ED1">
      <w:trPr>
        <w:trHeight w:val="309"/>
      </w:trPr>
      <w:tc>
        <w:tcPr>
          <w:tcW w:w="5000" w:type="pct"/>
          <w:gridSpan w:val="4"/>
          <w:tcBorders>
            <w:left w:val="nil"/>
            <w:bottom w:val="single" w:sz="4" w:space="0" w:color="auto"/>
          </w:tcBorders>
          <w:shd w:val="clear" w:color="auto" w:fill="auto"/>
          <w:vAlign w:val="center"/>
        </w:tcPr>
        <w:p w14:paraId="1DE1E16D" w14:textId="77777777" w:rsidR="00B90650" w:rsidRDefault="00B90650" w:rsidP="00B90650">
          <w:pPr>
            <w:jc w:val="center"/>
            <w:rPr>
              <w:b/>
              <w:i/>
            </w:rPr>
          </w:pPr>
          <w:bookmarkStart w:id="0" w:name="_Hlk171516344"/>
          <w:r w:rsidRPr="00937D7D">
            <w:rPr>
              <w:noProof/>
            </w:rPr>
            <w:drawing>
              <wp:inline distT="0" distB="0" distL="0" distR="0" wp14:anchorId="595E6586" wp14:editId="1569ADC2">
                <wp:extent cx="5581650" cy="963930"/>
                <wp:effectExtent l="0" t="0" r="0" b="0"/>
                <wp:docPr id="1734177058"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177058" name="Imagen 1" descr="Logotipo, nombre de la empresa&#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1650" cy="963930"/>
                        </a:xfrm>
                        <a:prstGeom prst="rect">
                          <a:avLst/>
                        </a:prstGeom>
                      </pic:spPr>
                    </pic:pic>
                  </a:graphicData>
                </a:graphic>
              </wp:inline>
            </w:drawing>
          </w:r>
        </w:p>
      </w:tc>
    </w:tr>
    <w:tr w:rsidR="00B90650" w:rsidRPr="00D90F17" w14:paraId="3CD735DE" w14:textId="77777777" w:rsidTr="00D21ED1">
      <w:trPr>
        <w:trHeight w:val="30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9E8813" w14:textId="1A2F998F" w:rsidR="00B90650" w:rsidRPr="00F41BD6" w:rsidRDefault="004E1C31" w:rsidP="00B90650">
          <w:pPr>
            <w:jc w:val="center"/>
            <w:rPr>
              <w:b/>
              <w:bCs/>
              <w:iCs/>
            </w:rPr>
          </w:pPr>
          <w:r>
            <w:rPr>
              <w:rFonts w:cs="Calibri"/>
              <w:b/>
              <w:bCs/>
              <w:iCs/>
              <w:color w:val="000000"/>
            </w:rPr>
            <w:t>COMPLEMENTO AL CONTRATO</w:t>
          </w:r>
          <w:r w:rsidR="00BF2C8A">
            <w:rPr>
              <w:rFonts w:cs="Calibri"/>
              <w:b/>
              <w:bCs/>
              <w:iCs/>
              <w:color w:val="000000"/>
            </w:rPr>
            <w:t xml:space="preserve"> PERSONA JURÍDICA</w:t>
          </w:r>
        </w:p>
      </w:tc>
    </w:tr>
    <w:tr w:rsidR="00B90650" w:rsidRPr="00D90F17" w14:paraId="2FC89AB7" w14:textId="77777777" w:rsidTr="00D21ED1">
      <w:trPr>
        <w:trHeight w:val="309"/>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3A4DE2" w14:textId="77777777" w:rsidR="00B90650" w:rsidRPr="00F41BD6" w:rsidRDefault="00B90650" w:rsidP="00B90650">
          <w:pPr>
            <w:jc w:val="center"/>
            <w:rPr>
              <w:b/>
              <w:bCs/>
              <w:iCs/>
            </w:rPr>
          </w:pPr>
          <w:r w:rsidRPr="00F41BD6">
            <w:rPr>
              <w:b/>
              <w:bCs/>
              <w:iCs/>
            </w:rPr>
            <w:t>PROCESO:</w:t>
          </w:r>
        </w:p>
      </w:tc>
      <w:tc>
        <w:tcPr>
          <w:tcW w:w="3420" w:type="pct"/>
          <w:gridSpan w:val="3"/>
          <w:tcBorders>
            <w:top w:val="single" w:sz="4" w:space="0" w:color="auto"/>
            <w:left w:val="nil"/>
            <w:bottom w:val="single" w:sz="4" w:space="0" w:color="auto"/>
            <w:right w:val="single" w:sz="4" w:space="0" w:color="auto"/>
          </w:tcBorders>
          <w:shd w:val="clear" w:color="auto" w:fill="auto"/>
          <w:vAlign w:val="center"/>
          <w:hideMark/>
        </w:tcPr>
        <w:p w14:paraId="02CA8E7A" w14:textId="77777777" w:rsidR="00B90650" w:rsidRPr="00F41BD6" w:rsidRDefault="00B90650" w:rsidP="00B90650">
          <w:pPr>
            <w:jc w:val="center"/>
            <w:rPr>
              <w:rFonts w:ascii="Montserrat" w:hAnsi="Montserrat"/>
              <w:iCs/>
            </w:rPr>
          </w:pPr>
          <w:r w:rsidRPr="00F41BD6">
            <w:rPr>
              <w:iCs/>
            </w:rPr>
            <w:t>GESTIÓN ADMINISTRATIVA</w:t>
          </w:r>
        </w:p>
      </w:tc>
    </w:tr>
    <w:tr w:rsidR="00B90650" w:rsidRPr="00D90F17" w14:paraId="3E0F3503" w14:textId="77777777" w:rsidTr="00D21ED1">
      <w:trPr>
        <w:trHeight w:val="309"/>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3DE42165" w14:textId="05CD61A2" w:rsidR="00B90650" w:rsidRPr="00F41BD6" w:rsidRDefault="00242655" w:rsidP="00B90650">
          <w:pPr>
            <w:jc w:val="center"/>
            <w:rPr>
              <w:b/>
              <w:bCs/>
              <w:iCs/>
            </w:rPr>
          </w:pPr>
          <w:r>
            <w:rPr>
              <w:b/>
              <w:bCs/>
              <w:iCs/>
            </w:rPr>
            <w:t>PROCEDIMIENTO</w:t>
          </w:r>
          <w:r w:rsidR="00B90650" w:rsidRPr="00F41BD6">
            <w:rPr>
              <w:b/>
              <w:bCs/>
              <w:iCs/>
            </w:rPr>
            <w:t>:</w:t>
          </w:r>
        </w:p>
      </w:tc>
      <w:tc>
        <w:tcPr>
          <w:tcW w:w="3420" w:type="pct"/>
          <w:gridSpan w:val="3"/>
          <w:tcBorders>
            <w:top w:val="single" w:sz="4" w:space="0" w:color="auto"/>
            <w:left w:val="nil"/>
            <w:bottom w:val="single" w:sz="4" w:space="0" w:color="auto"/>
            <w:right w:val="single" w:sz="4" w:space="0" w:color="auto"/>
          </w:tcBorders>
          <w:shd w:val="clear" w:color="auto" w:fill="auto"/>
          <w:vAlign w:val="center"/>
        </w:tcPr>
        <w:p w14:paraId="73E1F209" w14:textId="77777777" w:rsidR="00B90650" w:rsidRPr="00F41BD6" w:rsidRDefault="00B90650" w:rsidP="00B90650">
          <w:pPr>
            <w:jc w:val="center"/>
            <w:rPr>
              <w:iCs/>
            </w:rPr>
          </w:pPr>
          <w:r w:rsidRPr="00F41BD6">
            <w:rPr>
              <w:iCs/>
            </w:rPr>
            <w:t>MANUAL DE CONTRATACIÓN</w:t>
          </w:r>
        </w:p>
      </w:tc>
    </w:tr>
    <w:tr w:rsidR="00B90650" w:rsidRPr="00D90F17" w14:paraId="147185D2" w14:textId="77777777" w:rsidTr="00D21ED1">
      <w:trPr>
        <w:trHeight w:val="526"/>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7183BD" w14:textId="77777777" w:rsidR="00B90650" w:rsidRPr="00F41BD6" w:rsidRDefault="00B90650" w:rsidP="00B90650">
          <w:pPr>
            <w:jc w:val="center"/>
            <w:rPr>
              <w:b/>
              <w:bCs/>
              <w:iCs/>
            </w:rPr>
          </w:pPr>
          <w:r w:rsidRPr="00F41BD6">
            <w:rPr>
              <w:b/>
              <w:bCs/>
              <w:iCs/>
            </w:rPr>
            <w:t>FECHA DE APROBACIÓN:</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14:paraId="65D7C6B8" w14:textId="77777777" w:rsidR="00B90650" w:rsidRPr="00F41BD6" w:rsidRDefault="00B90650" w:rsidP="00B90650">
          <w:pPr>
            <w:jc w:val="center"/>
            <w:rPr>
              <w:b/>
              <w:bCs/>
              <w:iCs/>
            </w:rPr>
          </w:pPr>
          <w:r w:rsidRPr="00F41BD6">
            <w:rPr>
              <w:b/>
              <w:bCs/>
              <w:iCs/>
            </w:rPr>
            <w:t>CÓDIGO:</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21EF719D" w14:textId="77777777" w:rsidR="00B90650" w:rsidRPr="00F41BD6" w:rsidRDefault="00B90650" w:rsidP="00B90650">
          <w:pPr>
            <w:jc w:val="center"/>
            <w:rPr>
              <w:b/>
              <w:bCs/>
              <w:iCs/>
            </w:rPr>
          </w:pPr>
          <w:r w:rsidRPr="00F41BD6">
            <w:rPr>
              <w:b/>
              <w:bCs/>
              <w:iCs/>
            </w:rPr>
            <w:t>VERSIÓN:</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79E655AB" w14:textId="77777777" w:rsidR="00B90650" w:rsidRPr="00F41BD6" w:rsidRDefault="00B90650" w:rsidP="00B90650">
          <w:pPr>
            <w:jc w:val="center"/>
            <w:rPr>
              <w:rFonts w:ascii="Montserrat" w:hAnsi="Montserrat"/>
              <w:b/>
              <w:bCs/>
              <w:iCs/>
            </w:rPr>
          </w:pPr>
          <w:r w:rsidRPr="00F41BD6">
            <w:rPr>
              <w:b/>
              <w:bCs/>
              <w:iCs/>
            </w:rPr>
            <w:t>PÁGINA:</w:t>
          </w:r>
        </w:p>
      </w:tc>
    </w:tr>
    <w:tr w:rsidR="00B90650" w:rsidRPr="00D90F17" w14:paraId="1D6C289A" w14:textId="77777777" w:rsidTr="00D21ED1">
      <w:trPr>
        <w:trHeight w:val="325"/>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279723" w14:textId="179A46A1" w:rsidR="00B90650" w:rsidRPr="00F41BD6" w:rsidRDefault="007D4C7D" w:rsidP="00B90650">
          <w:pPr>
            <w:jc w:val="center"/>
            <w:rPr>
              <w:iCs/>
            </w:rPr>
          </w:pPr>
          <w:r>
            <w:rPr>
              <w:iCs/>
            </w:rPr>
            <w:t>24/04/2025</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14:paraId="23DE0F5B" w14:textId="6B9CBBFF" w:rsidR="00B90650" w:rsidRPr="00F41BD6" w:rsidRDefault="00B90650" w:rsidP="00B90650">
          <w:pPr>
            <w:jc w:val="center"/>
            <w:rPr>
              <w:iCs/>
            </w:rPr>
          </w:pPr>
          <w:r w:rsidRPr="00F41BD6">
            <w:rPr>
              <w:rFonts w:eastAsia="Times New Roman" w:cs="Times New Roman"/>
              <w:iCs/>
              <w:szCs w:val="20"/>
              <w:lang w:val="es-ES"/>
            </w:rPr>
            <w:t>MAN01-FOR</w:t>
          </w:r>
          <w:r w:rsidR="00E43ED2">
            <w:rPr>
              <w:rFonts w:eastAsia="Times New Roman" w:cs="Times New Roman"/>
              <w:iCs/>
              <w:szCs w:val="20"/>
              <w:lang w:val="es-ES"/>
            </w:rPr>
            <w:t>43</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18FFD048" w14:textId="1B1C22C6" w:rsidR="00B90650" w:rsidRPr="00F41BD6" w:rsidRDefault="00B90650" w:rsidP="00B90650">
          <w:pPr>
            <w:jc w:val="center"/>
            <w:rPr>
              <w:iCs/>
            </w:rPr>
          </w:pPr>
          <w:r>
            <w:rPr>
              <w:iCs/>
            </w:rPr>
            <w:t>01</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28E612CE" w14:textId="77777777" w:rsidR="00B90650" w:rsidRPr="00F41BD6" w:rsidRDefault="00B90650" w:rsidP="00B90650">
          <w:pPr>
            <w:jc w:val="center"/>
            <w:rPr>
              <w:rFonts w:ascii="Montserrat" w:hAnsi="Montserrat"/>
              <w:iCs/>
            </w:rPr>
          </w:pPr>
          <w:r w:rsidRPr="00F41BD6">
            <w:rPr>
              <w:bCs/>
              <w:iCs/>
            </w:rPr>
            <w:fldChar w:fldCharType="begin"/>
          </w:r>
          <w:r w:rsidRPr="00F41BD6">
            <w:rPr>
              <w:bCs/>
              <w:iCs/>
            </w:rPr>
            <w:instrText>PAGE  \* Arabic  \* MERGEFORMAT</w:instrText>
          </w:r>
          <w:r w:rsidRPr="00F41BD6">
            <w:rPr>
              <w:bCs/>
              <w:iCs/>
            </w:rPr>
            <w:fldChar w:fldCharType="separate"/>
          </w:r>
          <w:r w:rsidRPr="00F41BD6">
            <w:rPr>
              <w:bCs/>
              <w:iCs/>
              <w:noProof/>
              <w:lang w:val="es-ES"/>
            </w:rPr>
            <w:t>2</w:t>
          </w:r>
          <w:r w:rsidRPr="00F41BD6">
            <w:rPr>
              <w:bCs/>
              <w:iCs/>
            </w:rPr>
            <w:fldChar w:fldCharType="end"/>
          </w:r>
          <w:r w:rsidRPr="00F41BD6">
            <w:rPr>
              <w:iCs/>
              <w:lang w:val="es-ES"/>
            </w:rPr>
            <w:t xml:space="preserve"> de </w:t>
          </w:r>
          <w:r w:rsidRPr="00F41BD6">
            <w:rPr>
              <w:bCs/>
              <w:iCs/>
            </w:rPr>
            <w:fldChar w:fldCharType="begin"/>
          </w:r>
          <w:r w:rsidRPr="00F41BD6">
            <w:rPr>
              <w:bCs/>
              <w:iCs/>
            </w:rPr>
            <w:instrText>NUMPAGES  \* Arabic  \* MERGEFORMAT</w:instrText>
          </w:r>
          <w:r w:rsidRPr="00F41BD6">
            <w:rPr>
              <w:bCs/>
              <w:iCs/>
            </w:rPr>
            <w:fldChar w:fldCharType="separate"/>
          </w:r>
          <w:r w:rsidRPr="00F41BD6">
            <w:rPr>
              <w:bCs/>
              <w:iCs/>
              <w:noProof/>
              <w:lang w:val="es-ES"/>
            </w:rPr>
            <w:t>2</w:t>
          </w:r>
          <w:r w:rsidRPr="00F41BD6">
            <w:rPr>
              <w:bCs/>
              <w:iCs/>
            </w:rPr>
            <w:fldChar w:fldCharType="end"/>
          </w:r>
        </w:p>
      </w:tc>
    </w:tr>
    <w:bookmarkEnd w:id="0"/>
  </w:tbl>
  <w:p w14:paraId="7C83F8A6" w14:textId="77777777" w:rsidR="0072751D" w:rsidRDefault="0072751D">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E70198"/>
    <w:multiLevelType w:val="hybridMultilevel"/>
    <w:tmpl w:val="9C0886D8"/>
    <w:lvl w:ilvl="0" w:tplc="511E548A">
      <w:numFmt w:val="bullet"/>
      <w:lvlText w:val=""/>
      <w:lvlJc w:val="left"/>
      <w:pPr>
        <w:ind w:left="720" w:hanging="360"/>
      </w:pPr>
      <w:rPr>
        <w:rFonts w:ascii="Symbol" w:eastAsia="Verdana" w:hAnsi="Symbol" w:cs="Verdan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7522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51D"/>
    <w:rsid w:val="00103160"/>
    <w:rsid w:val="001076F1"/>
    <w:rsid w:val="001150B6"/>
    <w:rsid w:val="00146DDA"/>
    <w:rsid w:val="00165791"/>
    <w:rsid w:val="00242655"/>
    <w:rsid w:val="00342AEA"/>
    <w:rsid w:val="00371EF0"/>
    <w:rsid w:val="004E1C31"/>
    <w:rsid w:val="005F2072"/>
    <w:rsid w:val="0072751D"/>
    <w:rsid w:val="00761E4C"/>
    <w:rsid w:val="007D4C7D"/>
    <w:rsid w:val="008F78DE"/>
    <w:rsid w:val="00906DDF"/>
    <w:rsid w:val="00B64055"/>
    <w:rsid w:val="00B809AD"/>
    <w:rsid w:val="00B90650"/>
    <w:rsid w:val="00B92D27"/>
    <w:rsid w:val="00BD0DC1"/>
    <w:rsid w:val="00BF2C8A"/>
    <w:rsid w:val="00C311C3"/>
    <w:rsid w:val="00CE5346"/>
    <w:rsid w:val="00DC19FF"/>
    <w:rsid w:val="00DE67B2"/>
    <w:rsid w:val="00E43ED2"/>
    <w:rsid w:val="00E712A7"/>
    <w:rsid w:val="00FD64D9"/>
    <w:rsid w:val="00FE70E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001B"/>
  <w15:docId w15:val="{FA57571A-A6FF-4E6A-AF03-0DFEFAB2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22"/>
        <w:szCs w:val="22"/>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DC4"/>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2D348D"/>
    <w:pPr>
      <w:tabs>
        <w:tab w:val="center" w:pos="4419"/>
        <w:tab w:val="right" w:pos="8838"/>
      </w:tabs>
    </w:pPr>
  </w:style>
  <w:style w:type="character" w:customStyle="1" w:styleId="EncabezadoCar">
    <w:name w:val="Encabezado Car"/>
    <w:basedOn w:val="Fuentedeprrafopredeter"/>
    <w:link w:val="Encabezado"/>
    <w:uiPriority w:val="99"/>
    <w:rsid w:val="002D348D"/>
  </w:style>
  <w:style w:type="paragraph" w:styleId="Piedepgina">
    <w:name w:val="footer"/>
    <w:basedOn w:val="Normal"/>
    <w:link w:val="PiedepginaCar"/>
    <w:uiPriority w:val="99"/>
    <w:unhideWhenUsed/>
    <w:rsid w:val="002D348D"/>
    <w:pPr>
      <w:tabs>
        <w:tab w:val="center" w:pos="4419"/>
        <w:tab w:val="right" w:pos="8838"/>
      </w:tabs>
    </w:pPr>
  </w:style>
  <w:style w:type="character" w:customStyle="1" w:styleId="PiedepginaCar">
    <w:name w:val="Pie de página Car"/>
    <w:basedOn w:val="Fuentedeprrafopredeter"/>
    <w:link w:val="Piedepgina"/>
    <w:uiPriority w:val="99"/>
    <w:rsid w:val="002D348D"/>
  </w:style>
  <w:style w:type="character" w:styleId="Hipervnculo">
    <w:name w:val="Hyperlink"/>
    <w:basedOn w:val="Fuentedeprrafopredeter"/>
    <w:uiPriority w:val="99"/>
    <w:semiHidden/>
    <w:unhideWhenUsed/>
    <w:rsid w:val="00EE21B3"/>
    <w:rPr>
      <w:color w:val="0563C1" w:themeColor="hyperlink"/>
      <w:u w:val="single"/>
    </w:rPr>
  </w:style>
  <w:style w:type="table" w:customStyle="1" w:styleId="TableGrid">
    <w:name w:val="TableGrid"/>
    <w:rsid w:val="00DA75EC"/>
    <w:rPr>
      <w:rFonts w:eastAsiaTheme="minorEastAsia"/>
      <w:sz w:val="24"/>
      <w:szCs w:val="24"/>
      <w:lang w:eastAsia="es-MX"/>
    </w:rPr>
    <w:tblPr>
      <w:tblCellMar>
        <w:top w:w="0" w:type="dxa"/>
        <w:left w:w="0" w:type="dxa"/>
        <w:bottom w:w="0" w:type="dxa"/>
        <w:right w:w="0" w:type="dxa"/>
      </w:tblCellMar>
    </w:tblPr>
  </w:style>
  <w:style w:type="table" w:styleId="Tablaconcuadrcula">
    <w:name w:val="Table Grid"/>
    <w:basedOn w:val="Tablanormal"/>
    <w:uiPriority w:val="39"/>
    <w:rsid w:val="00DA75EC"/>
    <w:rPr>
      <w:rFonts w:eastAsiaTheme="minorEastAsia"/>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DA75EC"/>
  </w:style>
  <w:style w:type="character" w:customStyle="1" w:styleId="SinespaciadoCar">
    <w:name w:val="Sin espaciado Car"/>
    <w:basedOn w:val="Fuentedeprrafopredeter"/>
    <w:link w:val="Sinespaciado"/>
    <w:uiPriority w:val="1"/>
    <w:rsid w:val="00DA75EC"/>
    <w:rPr>
      <w:kern w:val="0"/>
    </w:rPr>
  </w:style>
  <w:style w:type="paragraph" w:styleId="Textoindependiente">
    <w:name w:val="Body Text"/>
    <w:basedOn w:val="Normal"/>
    <w:link w:val="TextoindependienteCar"/>
    <w:uiPriority w:val="1"/>
    <w:qFormat/>
    <w:rsid w:val="002858D5"/>
    <w:pPr>
      <w:widowControl w:val="0"/>
    </w:pPr>
    <w:rPr>
      <w:rFonts w:ascii="Arial" w:eastAsia="Times New Roman" w:hAnsi="Arial" w:cs="Times New Roman"/>
      <w:i/>
      <w:sz w:val="24"/>
      <w:szCs w:val="24"/>
      <w:lang w:val="es-ES_tradnl" w:eastAsia="es-MX"/>
    </w:rPr>
  </w:style>
  <w:style w:type="character" w:customStyle="1" w:styleId="TextoindependienteCar">
    <w:name w:val="Texto independiente Car"/>
    <w:basedOn w:val="Fuentedeprrafopredeter"/>
    <w:link w:val="Textoindependiente"/>
    <w:uiPriority w:val="1"/>
    <w:rsid w:val="002858D5"/>
    <w:rPr>
      <w:rFonts w:ascii="Arial" w:eastAsia="Times New Roman" w:hAnsi="Arial" w:cs="Times New Roman"/>
      <w:i/>
      <w:kern w:val="0"/>
      <w:sz w:val="24"/>
      <w:szCs w:val="24"/>
      <w:lang w:val="es-ES_tradnl" w:eastAsia="es-MX"/>
    </w:rPr>
  </w:style>
  <w:style w:type="paragraph" w:styleId="Prrafodelista">
    <w:name w:val="List Paragraph"/>
    <w:aliases w:val="HOJA,Bolita,Párrafo de lista4,BOLADEF,Párrafo de lista3,Párrafo de lista21,BOLA,Nivel 1 OS,Colorful List Accent 1,Colorful List - Accent 11,titulo 3,List Paragraph,Ha,Párrafo de lista2,Bullets,Bullet List,FooterText,numbered,lp1,Foot,Li"/>
    <w:basedOn w:val="Normal"/>
    <w:link w:val="PrrafodelistaCar"/>
    <w:uiPriority w:val="1"/>
    <w:qFormat/>
    <w:rsid w:val="002858D5"/>
    <w:pPr>
      <w:widowControl w:val="0"/>
      <w:autoSpaceDE w:val="0"/>
      <w:autoSpaceDN w:val="0"/>
      <w:ind w:left="541" w:hanging="360"/>
    </w:pPr>
    <w:rPr>
      <w:rFonts w:ascii="Calibri" w:eastAsia="Calibri" w:hAnsi="Calibri" w:cs="Calibri"/>
      <w:i/>
      <w:lang w:val="es-ES" w:eastAsia="es-ES" w:bidi="es-ES"/>
    </w:r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titulo 3 Car,List Paragraph Car,Ha Car,Bullets Car"/>
    <w:link w:val="Prrafodelista"/>
    <w:uiPriority w:val="1"/>
    <w:qFormat/>
    <w:locked/>
    <w:rsid w:val="002858D5"/>
    <w:rPr>
      <w:rFonts w:ascii="Calibri" w:eastAsia="Calibri" w:hAnsi="Calibri" w:cs="Calibri"/>
      <w:i/>
      <w:kern w:val="0"/>
      <w:lang w:val="es-ES" w:eastAsia="es-ES" w:bidi="es-ES"/>
    </w:rPr>
  </w:style>
  <w:style w:type="paragraph" w:styleId="Continuarlista5">
    <w:name w:val="List Continue 5"/>
    <w:basedOn w:val="Normal"/>
    <w:unhideWhenUsed/>
    <w:rsid w:val="002858D5"/>
    <w:pPr>
      <w:spacing w:after="120"/>
      <w:ind w:left="1415"/>
      <w:contextualSpacing/>
    </w:pPr>
    <w:rPr>
      <w:rFonts w:ascii="Times New Roman" w:eastAsia="Times New Roman" w:hAnsi="Times New Roman" w:cs="Times New Roman"/>
      <w:sz w:val="24"/>
      <w:szCs w:val="24"/>
      <w:lang w:eastAsia="es-MX"/>
    </w:rPr>
  </w:style>
  <w:style w:type="paragraph" w:customStyle="1" w:styleId="Default">
    <w:name w:val="Default"/>
    <w:link w:val="DefaultCar"/>
    <w:qFormat/>
    <w:rsid w:val="006B6067"/>
    <w:pPr>
      <w:widowControl w:val="0"/>
      <w:autoSpaceDE w:val="0"/>
      <w:autoSpaceDN w:val="0"/>
      <w:adjustRightInd w:val="0"/>
    </w:pPr>
    <w:rPr>
      <w:rFonts w:ascii="Arial" w:eastAsia="Times New Roman" w:hAnsi="Arial" w:cs="Arial"/>
      <w:color w:val="000000"/>
      <w:sz w:val="24"/>
      <w:szCs w:val="24"/>
      <w:lang w:val="es-ES" w:eastAsia="es-ES"/>
    </w:rPr>
  </w:style>
  <w:style w:type="character" w:customStyle="1" w:styleId="DefaultCar">
    <w:name w:val="Default Car"/>
    <w:link w:val="Default"/>
    <w:locked/>
    <w:rsid w:val="006B6067"/>
    <w:rPr>
      <w:rFonts w:ascii="Arial" w:eastAsia="Times New Roman" w:hAnsi="Arial" w:cs="Arial"/>
      <w:color w:val="000000"/>
      <w:kern w:val="0"/>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342AEA"/>
    <w:rPr>
      <w:sz w:val="16"/>
      <w:szCs w:val="16"/>
    </w:rPr>
  </w:style>
  <w:style w:type="paragraph" w:styleId="Textocomentario">
    <w:name w:val="annotation text"/>
    <w:basedOn w:val="Normal"/>
    <w:link w:val="TextocomentarioCar"/>
    <w:uiPriority w:val="99"/>
    <w:unhideWhenUsed/>
    <w:rsid w:val="00342AEA"/>
    <w:rPr>
      <w:sz w:val="20"/>
      <w:szCs w:val="20"/>
    </w:rPr>
  </w:style>
  <w:style w:type="character" w:customStyle="1" w:styleId="TextocomentarioCar">
    <w:name w:val="Texto comentario Car"/>
    <w:basedOn w:val="Fuentedeprrafopredeter"/>
    <w:link w:val="Textocomentario"/>
    <w:uiPriority w:val="99"/>
    <w:rsid w:val="00342AEA"/>
    <w:rPr>
      <w:sz w:val="20"/>
      <w:szCs w:val="20"/>
    </w:rPr>
  </w:style>
  <w:style w:type="paragraph" w:styleId="Asuntodelcomentario">
    <w:name w:val="annotation subject"/>
    <w:basedOn w:val="Textocomentario"/>
    <w:next w:val="Textocomentario"/>
    <w:link w:val="AsuntodelcomentarioCar"/>
    <w:uiPriority w:val="99"/>
    <w:semiHidden/>
    <w:unhideWhenUsed/>
    <w:rsid w:val="00342AEA"/>
    <w:rPr>
      <w:b/>
      <w:bCs/>
    </w:rPr>
  </w:style>
  <w:style w:type="character" w:customStyle="1" w:styleId="AsuntodelcomentarioCar">
    <w:name w:val="Asunto del comentario Car"/>
    <w:basedOn w:val="TextocomentarioCar"/>
    <w:link w:val="Asuntodelcomentario"/>
    <w:uiPriority w:val="99"/>
    <w:semiHidden/>
    <w:rsid w:val="00342A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G7RNgGymDVeBopLOwHGVyxr3Iw==">CgMxLjA4AHIhMU1kUlhMUGMyWUpHUG1aVHJJMWN5bHBORXJMU1EtUGdK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3077</Words>
  <Characters>16924</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Santiago Arevalo</cp:lastModifiedBy>
  <cp:revision>8</cp:revision>
  <dcterms:created xsi:type="dcterms:W3CDTF">2025-04-09T19:07:00Z</dcterms:created>
  <dcterms:modified xsi:type="dcterms:W3CDTF">2025-04-24T19:26:00Z</dcterms:modified>
</cp:coreProperties>
</file>