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C13C" w14:textId="77777777" w:rsidR="00E4682E" w:rsidRPr="00DF2638" w:rsidRDefault="00E4682E" w:rsidP="001A6BE2">
      <w:pPr>
        <w:ind w:firstLine="708"/>
        <w:jc w:val="center"/>
        <w:rPr>
          <w:rFonts w:cs="Arial"/>
          <w:bCs/>
        </w:rPr>
      </w:pPr>
    </w:p>
    <w:p w14:paraId="1A66D8B7" w14:textId="2A03B624" w:rsidR="001A6BE2" w:rsidRPr="00E455F1" w:rsidRDefault="001A6BE2" w:rsidP="001A6BE2">
      <w:pPr>
        <w:ind w:firstLine="708"/>
        <w:jc w:val="center"/>
        <w:rPr>
          <w:rFonts w:cs="Arial"/>
          <w:b/>
        </w:rPr>
      </w:pPr>
      <w:r w:rsidRPr="00E455F1">
        <w:rPr>
          <w:rFonts w:cs="Arial"/>
          <w:b/>
        </w:rPr>
        <w:t>U.A.E. CONTADURÍA GENERAL DE LA NACIÓN</w:t>
      </w:r>
    </w:p>
    <w:p w14:paraId="7694B194" w14:textId="77777777" w:rsidR="001A6BE2" w:rsidRPr="00E455F1" w:rsidRDefault="001A6BE2" w:rsidP="001A6BE2">
      <w:pPr>
        <w:ind w:firstLine="708"/>
        <w:jc w:val="center"/>
        <w:rPr>
          <w:rFonts w:cs="Arial"/>
          <w:b/>
        </w:rPr>
      </w:pPr>
      <w:r w:rsidRPr="00E455F1">
        <w:rPr>
          <w:rFonts w:cs="Arial"/>
          <w:b/>
        </w:rPr>
        <w:t>AVISO DE CONVOCATORIA PÚBLICA</w:t>
      </w:r>
    </w:p>
    <w:p w14:paraId="416D7772" w14:textId="77777777" w:rsidR="001A6BE2" w:rsidRPr="00E455F1" w:rsidRDefault="001A6BE2" w:rsidP="001A6BE2">
      <w:pPr>
        <w:ind w:firstLine="708"/>
        <w:jc w:val="center"/>
        <w:rPr>
          <w:rFonts w:cs="Arial"/>
          <w:b/>
        </w:rPr>
      </w:pPr>
      <w:r w:rsidRPr="001C7C69">
        <w:rPr>
          <w:rFonts w:cs="Arial"/>
          <w:b/>
        </w:rPr>
        <w:t>LICITACIÓN PÚBLICA, CONCURSO DE MERITOS, SUBASTA INVERSA O MENOR CUANTÍA</w:t>
      </w:r>
      <w:r w:rsidRPr="00E455F1">
        <w:rPr>
          <w:rFonts w:cs="Arial"/>
          <w:b/>
        </w:rPr>
        <w:t xml:space="preserve"> No. XXX de XXXX</w:t>
      </w:r>
    </w:p>
    <w:p w14:paraId="1F8C33D9" w14:textId="77777777" w:rsidR="001A6BE2" w:rsidRPr="00DF2638" w:rsidRDefault="001A6BE2" w:rsidP="001A6BE2">
      <w:pPr>
        <w:ind w:firstLine="284"/>
        <w:rPr>
          <w:rFonts w:cs="Arial"/>
          <w:bCs/>
        </w:rPr>
      </w:pPr>
    </w:p>
    <w:p w14:paraId="60ADC0BB" w14:textId="2BA2547B" w:rsidR="001A6BE2" w:rsidRPr="00DF2638" w:rsidRDefault="001A6BE2" w:rsidP="00E4682E">
      <w:pPr>
        <w:pStyle w:val="Default"/>
        <w:jc w:val="both"/>
        <w:rPr>
          <w:rFonts w:ascii="Verdana" w:hAnsi="Verdana" w:cs="Arial"/>
          <w:bCs/>
          <w:color w:val="auto"/>
          <w:sz w:val="22"/>
          <w:szCs w:val="22"/>
          <w:lang w:val="es-CO" w:eastAsia="es-CO"/>
        </w:rPr>
      </w:pPr>
      <w:r w:rsidRPr="00DF2638">
        <w:rPr>
          <w:rFonts w:ascii="Verdana" w:hAnsi="Verdana" w:cs="Arial"/>
          <w:bCs/>
          <w:sz w:val="22"/>
          <w:szCs w:val="22"/>
        </w:rPr>
        <w:t xml:space="preserve">La </w:t>
      </w:r>
      <w:r w:rsidRPr="00DF2638">
        <w:rPr>
          <w:rFonts w:ascii="Verdana" w:hAnsi="Verdana" w:cs="Arial"/>
          <w:bCs/>
          <w:color w:val="auto"/>
          <w:sz w:val="22"/>
          <w:szCs w:val="22"/>
        </w:rPr>
        <w:t xml:space="preserve">Unidad Administrativa Especial Contaduría General de la Nación, (U.A.E-CGN) en cumplimiento de lo dispuesto por el artículo </w:t>
      </w:r>
      <w:r w:rsidRPr="00DF2638">
        <w:rPr>
          <w:rFonts w:ascii="Verdana" w:hAnsi="Verdana" w:cs="Arial"/>
          <w:bCs/>
          <w:color w:val="auto"/>
          <w:sz w:val="22"/>
          <w:szCs w:val="22"/>
          <w:lang w:val="es-CO" w:eastAsia="es-CO"/>
        </w:rPr>
        <w:t>2.2.1.1.2.1.2</w:t>
      </w:r>
      <w:r w:rsidRPr="00DF2638">
        <w:rPr>
          <w:rFonts w:ascii="Verdana" w:hAnsi="Verdana" w:cs="Arial"/>
          <w:bCs/>
          <w:color w:val="auto"/>
          <w:sz w:val="22"/>
          <w:szCs w:val="22"/>
        </w:rPr>
        <w:t xml:space="preserve"> del Decreto 1082 de 2015 informa a la comunidad en general que iniciará proceso de contratación, bajo la modalidad de XXXXXXX No. XXXXX de XXXXXXX</w:t>
      </w:r>
    </w:p>
    <w:p w14:paraId="741AB527" w14:textId="77777777" w:rsidR="00E4682E" w:rsidRPr="00DF2638" w:rsidRDefault="00E4682E" w:rsidP="00E4682E">
      <w:pPr>
        <w:contextualSpacing/>
        <w:rPr>
          <w:rFonts w:cs="Arial"/>
          <w:bCs/>
        </w:rPr>
      </w:pPr>
    </w:p>
    <w:p w14:paraId="3FA48584" w14:textId="77777777" w:rsidR="00E4682E" w:rsidRPr="00DF2638" w:rsidRDefault="00E4682E" w:rsidP="00E4682E">
      <w:pPr>
        <w:pStyle w:val="Ttulo1"/>
        <w:numPr>
          <w:ilvl w:val="0"/>
          <w:numId w:val="2"/>
        </w:numPr>
        <w:tabs>
          <w:tab w:val="num" w:pos="360"/>
        </w:tabs>
        <w:autoSpaceDN/>
        <w:ind w:left="0" w:firstLine="0"/>
        <w:textAlignment w:val="auto"/>
        <w:rPr>
          <w:rFonts w:ascii="Verdana" w:hAnsi="Verdana" w:cs="Arial"/>
          <w:b/>
          <w:sz w:val="22"/>
          <w:szCs w:val="22"/>
        </w:rPr>
      </w:pPr>
      <w:r w:rsidRPr="00DF2638">
        <w:rPr>
          <w:rFonts w:ascii="Verdana" w:hAnsi="Verdana" w:cs="Arial"/>
          <w:b/>
          <w:sz w:val="22"/>
          <w:szCs w:val="22"/>
        </w:rPr>
        <w:t>Nombre y datos de contacto de la entidad</w:t>
      </w:r>
    </w:p>
    <w:p w14:paraId="25A2E59B" w14:textId="77777777" w:rsidR="00E4682E" w:rsidRPr="00DF2638" w:rsidRDefault="00E4682E" w:rsidP="00E4682E">
      <w:pPr>
        <w:contextualSpacing/>
        <w:jc w:val="both"/>
        <w:rPr>
          <w:rFonts w:cs="Arial"/>
          <w:bCs/>
        </w:rPr>
      </w:pPr>
    </w:p>
    <w:p w14:paraId="754F3E2D" w14:textId="12AB887F" w:rsidR="00E4682E" w:rsidRPr="00DF2638" w:rsidRDefault="00E4682E" w:rsidP="00E4682E">
      <w:pPr>
        <w:jc w:val="both"/>
        <w:rPr>
          <w:rFonts w:cs="Arial"/>
          <w:bCs/>
        </w:rPr>
      </w:pPr>
      <w:r w:rsidRPr="00DF2638">
        <w:rPr>
          <w:rFonts w:cs="Arial"/>
          <w:bCs/>
        </w:rPr>
        <w:t>La Unidad Administrativa Especial Contaduría General de la Nación, (U.A.E-CGN) atenderá a los interesados en el Proceso de Contratación a través del canal de mensajes de la plataforma del SECOP II o si esta se encuentra en estado de indisponibilidad, dirigirse a través del siguiente canal de comunicación:</w:t>
      </w:r>
    </w:p>
    <w:p w14:paraId="7C114080" w14:textId="77777777" w:rsidR="00E4682E" w:rsidRPr="00DF2638" w:rsidRDefault="00E4682E" w:rsidP="00E4682E">
      <w:pPr>
        <w:jc w:val="both"/>
        <w:rPr>
          <w:rFonts w:cs="Arial"/>
          <w:bCs/>
        </w:rPr>
      </w:pPr>
    </w:p>
    <w:p w14:paraId="3CE46DF4" w14:textId="0AF7760F" w:rsidR="00E4682E" w:rsidRPr="00DF2638" w:rsidRDefault="00E4682E" w:rsidP="00E4682E">
      <w:pPr>
        <w:jc w:val="both"/>
        <w:rPr>
          <w:bCs/>
        </w:rPr>
      </w:pPr>
      <w:r w:rsidRPr="00DF2638">
        <w:rPr>
          <w:rFonts w:cs="Arial"/>
          <w:bCs/>
        </w:rPr>
        <w:t>Correo electrónico:</w:t>
      </w:r>
      <w:r w:rsidRPr="00DF2638">
        <w:rPr>
          <w:bCs/>
        </w:rPr>
        <w:t xml:space="preserve"> </w:t>
      </w:r>
      <w:r w:rsidRPr="00DF2638">
        <w:rPr>
          <w:rFonts w:cs="Arial"/>
          <w:bCs/>
        </w:rPr>
        <w:t>XXXXXXXXXXXXXXXXXXX</w:t>
      </w:r>
    </w:p>
    <w:p w14:paraId="225B026F" w14:textId="77777777" w:rsidR="00E4682E" w:rsidRPr="00DF2638" w:rsidRDefault="00E4682E" w:rsidP="00E4682E">
      <w:pPr>
        <w:jc w:val="both"/>
        <w:rPr>
          <w:rFonts w:cs="Arial"/>
          <w:bCs/>
        </w:rPr>
      </w:pPr>
    </w:p>
    <w:p w14:paraId="1879192B" w14:textId="77777777" w:rsidR="00E4682E" w:rsidRPr="00DF2638" w:rsidRDefault="00E4682E" w:rsidP="00E4682E">
      <w:pPr>
        <w:pStyle w:val="Ttulo1"/>
        <w:numPr>
          <w:ilvl w:val="0"/>
          <w:numId w:val="2"/>
        </w:numPr>
        <w:tabs>
          <w:tab w:val="num" w:pos="360"/>
        </w:tabs>
        <w:autoSpaceDN/>
        <w:ind w:left="0" w:firstLine="0"/>
        <w:jc w:val="both"/>
        <w:textAlignment w:val="auto"/>
        <w:rPr>
          <w:rFonts w:ascii="Verdana" w:hAnsi="Verdana" w:cs="Arial"/>
          <w:b/>
          <w:sz w:val="22"/>
          <w:szCs w:val="22"/>
        </w:rPr>
      </w:pPr>
      <w:r w:rsidRPr="00DF2638">
        <w:rPr>
          <w:rFonts w:ascii="Verdana" w:hAnsi="Verdana" w:cs="Arial"/>
          <w:b/>
          <w:sz w:val="22"/>
          <w:szCs w:val="22"/>
        </w:rPr>
        <w:t>Información de consulta y presentación de los documentos en desarrollo del Proceso de Contratación</w:t>
      </w:r>
    </w:p>
    <w:p w14:paraId="78C74CFA" w14:textId="77777777" w:rsidR="00E4682E" w:rsidRPr="00DF2638" w:rsidRDefault="00E4682E" w:rsidP="00E4682E">
      <w:pPr>
        <w:contextualSpacing/>
        <w:jc w:val="both"/>
        <w:rPr>
          <w:rFonts w:cs="Arial"/>
          <w:bCs/>
        </w:rPr>
      </w:pPr>
    </w:p>
    <w:p w14:paraId="10E1022B" w14:textId="77777777" w:rsidR="00E4682E" w:rsidRPr="00DF2638" w:rsidRDefault="00E4682E" w:rsidP="00E4682E">
      <w:pPr>
        <w:contextualSpacing/>
        <w:jc w:val="both"/>
        <w:rPr>
          <w:rFonts w:cs="Arial"/>
          <w:bCs/>
        </w:rPr>
      </w:pPr>
      <w:r w:rsidRPr="00DF2638">
        <w:rPr>
          <w:rFonts w:cs="Arial"/>
          <w:bCs/>
        </w:rPr>
        <w:t xml:space="preserve">Los interesados en el Proceso de Contratación podrán consultar los Documentos del Proceso en el Sistema Electrónico de Contratación Pública – SECOP II, ingresando a  </w:t>
      </w:r>
      <w:hyperlink r:id="rId8" w:history="1">
        <w:r w:rsidRPr="00DF2638">
          <w:rPr>
            <w:rStyle w:val="Hipervnculo"/>
            <w:rFonts w:cs="Arial"/>
            <w:bCs/>
          </w:rPr>
          <w:t>www.colombiacompra.gov.co</w:t>
        </w:r>
      </w:hyperlink>
      <w:r w:rsidRPr="00DF2638">
        <w:rPr>
          <w:rFonts w:cs="Arial"/>
          <w:bCs/>
        </w:rPr>
        <w:t xml:space="preserve"> </w:t>
      </w:r>
    </w:p>
    <w:p w14:paraId="231CDC1A" w14:textId="77777777" w:rsidR="00E4682E" w:rsidRPr="00DF2638" w:rsidRDefault="00E4682E" w:rsidP="00E4682E">
      <w:pPr>
        <w:tabs>
          <w:tab w:val="left" w:pos="2396"/>
        </w:tabs>
        <w:contextualSpacing/>
        <w:jc w:val="both"/>
        <w:rPr>
          <w:rFonts w:cs="Arial"/>
          <w:bCs/>
        </w:rPr>
      </w:pPr>
    </w:p>
    <w:p w14:paraId="253498EE" w14:textId="24C40AE8" w:rsidR="00E4682E" w:rsidRPr="00DF2638" w:rsidRDefault="00E4682E" w:rsidP="00E4682E">
      <w:pPr>
        <w:tabs>
          <w:tab w:val="left" w:pos="2396"/>
        </w:tabs>
        <w:contextualSpacing/>
        <w:jc w:val="both"/>
        <w:rPr>
          <w:rFonts w:cs="Arial"/>
          <w:bCs/>
        </w:rPr>
      </w:pPr>
      <w:r w:rsidRPr="00DF2638">
        <w:rPr>
          <w:rFonts w:cs="Arial"/>
          <w:bCs/>
        </w:rPr>
        <w:t xml:space="preserve">Los interesados deben presentar los documentos en desarrollo del Proceso de Contratación a través del enlace del Proceso de Contratación No. </w:t>
      </w:r>
      <w:r w:rsidRPr="00DF2638">
        <w:rPr>
          <w:rFonts w:cs="Arial"/>
          <w:bCs/>
          <w:lang w:val="es-MX"/>
        </w:rPr>
        <w:t xml:space="preserve">XXXXXXXXXXXXXXXXXXX </w:t>
      </w:r>
      <w:r w:rsidRPr="00DF2638">
        <w:rPr>
          <w:rFonts w:cs="Arial"/>
          <w:bCs/>
        </w:rPr>
        <w:t>en el SECOP II.</w:t>
      </w:r>
      <w:r w:rsidRPr="00DF2638">
        <w:rPr>
          <w:rFonts w:cs="Arial"/>
          <w:bCs/>
        </w:rPr>
        <w:tab/>
      </w:r>
    </w:p>
    <w:p w14:paraId="6DDBA0E0" w14:textId="77777777" w:rsidR="00E4682E" w:rsidRPr="00DF2638" w:rsidRDefault="00E4682E" w:rsidP="00E4682E">
      <w:pPr>
        <w:pStyle w:val="Ttulo1"/>
        <w:autoSpaceDN/>
        <w:textAlignment w:val="auto"/>
        <w:rPr>
          <w:rFonts w:ascii="Verdana" w:hAnsi="Verdana" w:cs="Arial"/>
          <w:bCs/>
          <w:sz w:val="22"/>
          <w:szCs w:val="22"/>
        </w:rPr>
      </w:pPr>
    </w:p>
    <w:p w14:paraId="1DB796FB" w14:textId="77777777" w:rsidR="00E4682E" w:rsidRPr="00DF2638" w:rsidRDefault="00E4682E" w:rsidP="00E4682E">
      <w:pPr>
        <w:pStyle w:val="Ttulo1"/>
        <w:numPr>
          <w:ilvl w:val="0"/>
          <w:numId w:val="2"/>
        </w:numPr>
        <w:tabs>
          <w:tab w:val="num" w:pos="360"/>
        </w:tabs>
        <w:autoSpaceDN/>
        <w:ind w:left="0" w:firstLine="0"/>
        <w:textAlignment w:val="auto"/>
        <w:rPr>
          <w:rFonts w:ascii="Verdana" w:hAnsi="Verdana" w:cs="Arial"/>
          <w:b/>
          <w:sz w:val="22"/>
          <w:szCs w:val="22"/>
        </w:rPr>
      </w:pPr>
      <w:r w:rsidRPr="00DF2638">
        <w:rPr>
          <w:rFonts w:ascii="Verdana" w:hAnsi="Verdana" w:cs="Arial"/>
          <w:b/>
          <w:sz w:val="22"/>
          <w:szCs w:val="22"/>
        </w:rPr>
        <w:t>Objeto del contrato y especificaciones</w:t>
      </w:r>
    </w:p>
    <w:p w14:paraId="2727DA5A" w14:textId="77777777" w:rsidR="00E4682E" w:rsidRPr="00DF2638" w:rsidRDefault="00E4682E" w:rsidP="00E4682E">
      <w:pPr>
        <w:rPr>
          <w:rFonts w:cs="Arial"/>
          <w:bCs/>
          <w:lang w:eastAsia="es-CO"/>
        </w:rPr>
      </w:pPr>
    </w:p>
    <w:p w14:paraId="27A81B83" w14:textId="2C1587FE" w:rsidR="00E4682E" w:rsidRPr="00DF2638" w:rsidRDefault="00E4682E" w:rsidP="00E4682E">
      <w:pPr>
        <w:jc w:val="both"/>
        <w:rPr>
          <w:rFonts w:cs="Arial"/>
          <w:bCs/>
          <w:lang w:val="es-ES_tradnl"/>
        </w:rPr>
      </w:pPr>
      <w:r w:rsidRPr="00DF2638">
        <w:rPr>
          <w:rFonts w:cs="Arial"/>
          <w:bCs/>
          <w:lang w:val="es-ES_tradnl"/>
        </w:rPr>
        <w:t>Objeto:</w:t>
      </w:r>
      <w:r w:rsidRPr="00DF2638">
        <w:rPr>
          <w:bCs/>
        </w:rPr>
        <w:t xml:space="preserve"> </w:t>
      </w:r>
      <w:r w:rsidRPr="00DF2638">
        <w:rPr>
          <w:bCs/>
          <w:color w:val="FF0000"/>
        </w:rPr>
        <w:t>Diligencie el objeto.</w:t>
      </w:r>
    </w:p>
    <w:p w14:paraId="32F4F60A" w14:textId="77777777" w:rsidR="00E4682E" w:rsidRDefault="00E4682E" w:rsidP="00E4682E">
      <w:pPr>
        <w:jc w:val="both"/>
        <w:rPr>
          <w:rFonts w:cs="Arial"/>
          <w:bCs/>
          <w:lang w:val="es-ES_tradnl"/>
        </w:rPr>
      </w:pPr>
    </w:p>
    <w:p w14:paraId="77342C88" w14:textId="7B59972A" w:rsidR="00E4682E" w:rsidRPr="00DF2638" w:rsidRDefault="00E4682E" w:rsidP="00E4682E">
      <w:pPr>
        <w:jc w:val="both"/>
        <w:rPr>
          <w:rFonts w:cs="Arial"/>
          <w:bCs/>
          <w:lang w:val="es-ES_tradnl"/>
        </w:rPr>
      </w:pPr>
      <w:r w:rsidRPr="00DF2638">
        <w:rPr>
          <w:rFonts w:cs="Arial"/>
          <w:bCs/>
          <w:lang w:val="es-ES_tradnl"/>
        </w:rPr>
        <w:t>Alcance del Objeto</w:t>
      </w:r>
      <w:r w:rsidR="0029555F">
        <w:rPr>
          <w:rFonts w:cs="Arial"/>
          <w:bCs/>
          <w:lang w:val="es-ES_tradnl"/>
        </w:rPr>
        <w:t>:</w:t>
      </w:r>
    </w:p>
    <w:p w14:paraId="53F443C4" w14:textId="77777777" w:rsidR="00E4682E" w:rsidRPr="00DF2638" w:rsidRDefault="00E4682E" w:rsidP="00E4682E">
      <w:pPr>
        <w:jc w:val="both"/>
        <w:rPr>
          <w:rFonts w:cs="Arial"/>
          <w:bCs/>
          <w:lang w:val="es-ES_tradnl"/>
        </w:rPr>
      </w:pPr>
    </w:p>
    <w:p w14:paraId="7A5190B8" w14:textId="6A87A3FF" w:rsidR="00E4682E" w:rsidRPr="00DF2638" w:rsidRDefault="00E4682E" w:rsidP="00E4682E">
      <w:pPr>
        <w:jc w:val="both"/>
        <w:rPr>
          <w:rFonts w:cs="Arial"/>
          <w:bCs/>
          <w:color w:val="FF0000"/>
          <w:lang w:val="es-ES_tradnl"/>
        </w:rPr>
      </w:pPr>
      <w:r w:rsidRPr="00DF2638">
        <w:rPr>
          <w:bCs/>
          <w:color w:val="FF0000"/>
        </w:rPr>
        <w:lastRenderedPageBreak/>
        <w:t>Diligencie el alcance del objeto</w:t>
      </w:r>
    </w:p>
    <w:p w14:paraId="4655B83A" w14:textId="77777777" w:rsidR="00E4682E" w:rsidRPr="00DF2638" w:rsidRDefault="00E4682E" w:rsidP="00E4682E">
      <w:pPr>
        <w:jc w:val="both"/>
        <w:rPr>
          <w:rFonts w:cs="Arial"/>
          <w:bCs/>
          <w:lang w:val="es-ES_tradnl" w:eastAsia="es-CO"/>
        </w:rPr>
      </w:pPr>
    </w:p>
    <w:p w14:paraId="618955CC" w14:textId="77777777" w:rsidR="00E4682E" w:rsidRPr="00DF2638" w:rsidRDefault="00E4682E" w:rsidP="00E4682E">
      <w:pPr>
        <w:pStyle w:val="Prrafodelista"/>
        <w:numPr>
          <w:ilvl w:val="0"/>
          <w:numId w:val="2"/>
        </w:numPr>
        <w:autoSpaceDN w:val="0"/>
        <w:contextualSpacing w:val="0"/>
        <w:textAlignment w:val="baseline"/>
        <w:rPr>
          <w:rFonts w:ascii="Verdana" w:hAnsi="Verdana" w:cs="Arial"/>
          <w:b/>
          <w:i w:val="0"/>
          <w:sz w:val="22"/>
          <w:szCs w:val="22"/>
          <w:lang w:val="es-ES_tradnl" w:eastAsia="es-CO"/>
        </w:rPr>
      </w:pPr>
      <w:r w:rsidRPr="00DF2638">
        <w:rPr>
          <w:rFonts w:ascii="Verdana" w:hAnsi="Verdana" w:cs="Arial"/>
          <w:b/>
          <w:i w:val="0"/>
          <w:sz w:val="22"/>
          <w:szCs w:val="22"/>
          <w:lang w:val="es-ES_tradnl" w:eastAsia="es-CO"/>
        </w:rPr>
        <w:t>Código del Clasificador de Bienes y Servicios de las Naciones Unidas</w:t>
      </w:r>
    </w:p>
    <w:p w14:paraId="6CAD4CF2" w14:textId="77777777" w:rsidR="00E4682E" w:rsidRPr="00DF2638" w:rsidRDefault="00E4682E" w:rsidP="00E4682E">
      <w:pPr>
        <w:jc w:val="both"/>
        <w:rPr>
          <w:rFonts w:cs="Arial"/>
          <w:bCs/>
          <w:lang w:val="es-ES_tradnl" w:eastAsia="es-CO"/>
        </w:rPr>
      </w:pPr>
    </w:p>
    <w:p w14:paraId="4F6DD7F3" w14:textId="77777777" w:rsidR="00E4682E" w:rsidRPr="00DF2638" w:rsidRDefault="00E4682E" w:rsidP="00E4682E">
      <w:pPr>
        <w:jc w:val="both"/>
        <w:rPr>
          <w:rFonts w:cs="Arial"/>
          <w:bCs/>
          <w:lang w:val="es-ES_tradnl" w:eastAsia="es-CO"/>
        </w:rPr>
      </w:pPr>
      <w:r w:rsidRPr="00DF2638">
        <w:rPr>
          <w:rFonts w:cs="Arial"/>
          <w:bCs/>
          <w:lang w:val="es-ES_tradnl" w:eastAsia="es-CO"/>
        </w:rPr>
        <w:t>El objeto del contrato está codificado en el Clasificador de Bienes y Servicios de las Naciones Unidas de la siguiente manera.</w:t>
      </w:r>
    </w:p>
    <w:p w14:paraId="44025ED1" w14:textId="77777777" w:rsidR="00E4682E" w:rsidRPr="00DF2638" w:rsidRDefault="00E4682E" w:rsidP="00E4682E">
      <w:pPr>
        <w:jc w:val="both"/>
        <w:rPr>
          <w:rFonts w:cs="Arial"/>
          <w:bCs/>
          <w:lang w:val="es-ES_tradnl" w:eastAsia="es-CO"/>
        </w:rPr>
      </w:pPr>
    </w:p>
    <w:tbl>
      <w:tblPr>
        <w:tblW w:w="8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695"/>
        <w:gridCol w:w="1418"/>
        <w:gridCol w:w="1134"/>
        <w:gridCol w:w="3409"/>
      </w:tblGrid>
      <w:tr w:rsidR="00E4682E" w:rsidRPr="00DF2638" w14:paraId="61A6506B" w14:textId="77777777" w:rsidTr="00D74564">
        <w:trPr>
          <w:trHeight w:val="278"/>
          <w:jc w:val="center"/>
        </w:trPr>
        <w:tc>
          <w:tcPr>
            <w:tcW w:w="1277" w:type="dxa"/>
            <w:shd w:val="clear" w:color="auto" w:fill="D9D9D9"/>
            <w:vAlign w:val="center"/>
          </w:tcPr>
          <w:p w14:paraId="4DDC935B" w14:textId="77777777" w:rsidR="00E4682E" w:rsidRPr="00DF2638" w:rsidRDefault="00E4682E" w:rsidP="00D74564">
            <w:pPr>
              <w:pBdr>
                <w:top w:val="nil"/>
                <w:left w:val="nil"/>
                <w:bottom w:val="nil"/>
                <w:right w:val="nil"/>
                <w:between w:val="nil"/>
              </w:pBdr>
              <w:jc w:val="center"/>
              <w:rPr>
                <w:bCs/>
                <w:color w:val="000000"/>
              </w:rPr>
            </w:pPr>
            <w:bookmarkStart w:id="0" w:name="_Hlk167949155"/>
            <w:r w:rsidRPr="00DF2638">
              <w:rPr>
                <w:bCs/>
                <w:color w:val="000000"/>
              </w:rPr>
              <w:t>CÓDIGO</w:t>
            </w:r>
          </w:p>
        </w:tc>
        <w:tc>
          <w:tcPr>
            <w:tcW w:w="1695" w:type="dxa"/>
            <w:shd w:val="clear" w:color="auto" w:fill="D9D9D9"/>
            <w:vAlign w:val="center"/>
          </w:tcPr>
          <w:p w14:paraId="220DD67D" w14:textId="77777777" w:rsidR="00E4682E" w:rsidRPr="00DF2638" w:rsidRDefault="00E4682E" w:rsidP="00D74564">
            <w:pPr>
              <w:pBdr>
                <w:top w:val="nil"/>
                <w:left w:val="nil"/>
                <w:bottom w:val="nil"/>
                <w:right w:val="nil"/>
                <w:between w:val="nil"/>
              </w:pBdr>
              <w:jc w:val="center"/>
              <w:rPr>
                <w:bCs/>
                <w:color w:val="000000"/>
              </w:rPr>
            </w:pPr>
            <w:r w:rsidRPr="00DF2638">
              <w:rPr>
                <w:bCs/>
                <w:color w:val="000000"/>
              </w:rPr>
              <w:t>SEGMENTO</w:t>
            </w:r>
          </w:p>
        </w:tc>
        <w:tc>
          <w:tcPr>
            <w:tcW w:w="1418" w:type="dxa"/>
            <w:shd w:val="clear" w:color="auto" w:fill="D9D9D9"/>
            <w:vAlign w:val="center"/>
          </w:tcPr>
          <w:p w14:paraId="07EA3761" w14:textId="77777777" w:rsidR="00E4682E" w:rsidRPr="00DF2638" w:rsidRDefault="00E4682E" w:rsidP="00D74564">
            <w:pPr>
              <w:pBdr>
                <w:top w:val="nil"/>
                <w:left w:val="nil"/>
                <w:bottom w:val="nil"/>
                <w:right w:val="nil"/>
                <w:between w:val="nil"/>
              </w:pBdr>
              <w:jc w:val="center"/>
              <w:rPr>
                <w:bCs/>
                <w:color w:val="000000"/>
              </w:rPr>
            </w:pPr>
            <w:r w:rsidRPr="00DF2638">
              <w:rPr>
                <w:bCs/>
                <w:color w:val="000000"/>
              </w:rPr>
              <w:t>FAMILIA</w:t>
            </w:r>
          </w:p>
        </w:tc>
        <w:tc>
          <w:tcPr>
            <w:tcW w:w="1134" w:type="dxa"/>
            <w:shd w:val="clear" w:color="auto" w:fill="D9D9D9"/>
            <w:vAlign w:val="center"/>
          </w:tcPr>
          <w:p w14:paraId="3F5B4008" w14:textId="77777777" w:rsidR="00E4682E" w:rsidRPr="00DF2638" w:rsidRDefault="00E4682E" w:rsidP="00D74564">
            <w:pPr>
              <w:pBdr>
                <w:top w:val="nil"/>
                <w:left w:val="nil"/>
                <w:bottom w:val="nil"/>
                <w:right w:val="nil"/>
                <w:between w:val="nil"/>
              </w:pBdr>
              <w:jc w:val="center"/>
              <w:rPr>
                <w:bCs/>
                <w:color w:val="000000"/>
              </w:rPr>
            </w:pPr>
            <w:r w:rsidRPr="00DF2638">
              <w:rPr>
                <w:bCs/>
                <w:color w:val="000000"/>
              </w:rPr>
              <w:t>CLASE</w:t>
            </w:r>
          </w:p>
        </w:tc>
        <w:tc>
          <w:tcPr>
            <w:tcW w:w="3409" w:type="dxa"/>
            <w:shd w:val="clear" w:color="auto" w:fill="D9D9D9"/>
            <w:vAlign w:val="center"/>
          </w:tcPr>
          <w:p w14:paraId="2AB44ACC" w14:textId="77777777" w:rsidR="00E4682E" w:rsidRPr="00DF2638" w:rsidRDefault="00E4682E" w:rsidP="00D74564">
            <w:pPr>
              <w:pBdr>
                <w:top w:val="nil"/>
                <w:left w:val="nil"/>
                <w:bottom w:val="nil"/>
                <w:right w:val="nil"/>
                <w:between w:val="nil"/>
              </w:pBdr>
              <w:jc w:val="center"/>
              <w:rPr>
                <w:bCs/>
                <w:color w:val="000000"/>
              </w:rPr>
            </w:pPr>
            <w:r w:rsidRPr="00DF2638">
              <w:rPr>
                <w:bCs/>
                <w:color w:val="000000"/>
              </w:rPr>
              <w:t>PRODUCTO</w:t>
            </w:r>
          </w:p>
        </w:tc>
      </w:tr>
      <w:tr w:rsidR="00E4682E" w:rsidRPr="00DF2638" w14:paraId="5551DA12" w14:textId="77777777" w:rsidTr="00D74564">
        <w:trPr>
          <w:trHeight w:val="75"/>
          <w:jc w:val="center"/>
        </w:trPr>
        <w:tc>
          <w:tcPr>
            <w:tcW w:w="1277" w:type="dxa"/>
            <w:vAlign w:val="center"/>
          </w:tcPr>
          <w:p w14:paraId="446810AE" w14:textId="77777777" w:rsidR="00E4682E" w:rsidRPr="00DF2638" w:rsidRDefault="00E4682E" w:rsidP="00D74564">
            <w:pPr>
              <w:pBdr>
                <w:top w:val="nil"/>
                <w:left w:val="nil"/>
                <w:bottom w:val="nil"/>
                <w:right w:val="nil"/>
                <w:between w:val="nil"/>
              </w:pBdr>
              <w:jc w:val="center"/>
              <w:rPr>
                <w:bCs/>
                <w:color w:val="808080"/>
              </w:rPr>
            </w:pPr>
            <w:proofErr w:type="spellStart"/>
            <w:r w:rsidRPr="00DF2638">
              <w:rPr>
                <w:bCs/>
                <w:color w:val="808080"/>
              </w:rPr>
              <w:t>xx</w:t>
            </w:r>
            <w:proofErr w:type="spellEnd"/>
          </w:p>
        </w:tc>
        <w:tc>
          <w:tcPr>
            <w:tcW w:w="1695" w:type="dxa"/>
            <w:vAlign w:val="center"/>
          </w:tcPr>
          <w:p w14:paraId="6754CE0E" w14:textId="77777777" w:rsidR="00E4682E" w:rsidRPr="00DF2638" w:rsidRDefault="00E4682E" w:rsidP="00D74564">
            <w:pPr>
              <w:pBdr>
                <w:top w:val="nil"/>
                <w:left w:val="nil"/>
                <w:bottom w:val="nil"/>
                <w:right w:val="nil"/>
                <w:between w:val="nil"/>
              </w:pBdr>
              <w:jc w:val="center"/>
              <w:rPr>
                <w:bCs/>
                <w:color w:val="808080"/>
              </w:rPr>
            </w:pPr>
            <w:proofErr w:type="spellStart"/>
            <w:r w:rsidRPr="00DF2638">
              <w:rPr>
                <w:bCs/>
                <w:color w:val="808080"/>
              </w:rPr>
              <w:t>xx</w:t>
            </w:r>
            <w:proofErr w:type="spellEnd"/>
          </w:p>
        </w:tc>
        <w:tc>
          <w:tcPr>
            <w:tcW w:w="1418" w:type="dxa"/>
            <w:vAlign w:val="center"/>
          </w:tcPr>
          <w:p w14:paraId="3B71F00A" w14:textId="77777777" w:rsidR="00E4682E" w:rsidRPr="00DF2638" w:rsidRDefault="00E4682E" w:rsidP="00D74564">
            <w:pPr>
              <w:pBdr>
                <w:top w:val="nil"/>
                <w:left w:val="nil"/>
                <w:bottom w:val="nil"/>
                <w:right w:val="nil"/>
                <w:between w:val="nil"/>
              </w:pBdr>
              <w:jc w:val="center"/>
              <w:rPr>
                <w:bCs/>
                <w:color w:val="808080"/>
              </w:rPr>
            </w:pPr>
            <w:proofErr w:type="spellStart"/>
            <w:r w:rsidRPr="00DF2638">
              <w:rPr>
                <w:bCs/>
                <w:color w:val="808080"/>
              </w:rPr>
              <w:t>xx</w:t>
            </w:r>
            <w:proofErr w:type="spellEnd"/>
          </w:p>
        </w:tc>
        <w:tc>
          <w:tcPr>
            <w:tcW w:w="1134" w:type="dxa"/>
            <w:vAlign w:val="center"/>
          </w:tcPr>
          <w:p w14:paraId="1D127A44" w14:textId="360CD4D5" w:rsidR="00E4682E" w:rsidRPr="00DF2638" w:rsidRDefault="0029555F" w:rsidP="00D74564">
            <w:pPr>
              <w:pBdr>
                <w:top w:val="nil"/>
                <w:left w:val="nil"/>
                <w:bottom w:val="nil"/>
                <w:right w:val="nil"/>
                <w:between w:val="nil"/>
              </w:pBdr>
              <w:jc w:val="center"/>
              <w:rPr>
                <w:bCs/>
                <w:color w:val="808080"/>
              </w:rPr>
            </w:pPr>
            <w:proofErr w:type="spellStart"/>
            <w:r w:rsidRPr="00DF2638">
              <w:rPr>
                <w:bCs/>
                <w:color w:val="808080"/>
              </w:rPr>
              <w:t>X</w:t>
            </w:r>
            <w:r w:rsidR="00E4682E" w:rsidRPr="00DF2638">
              <w:rPr>
                <w:bCs/>
                <w:color w:val="808080"/>
              </w:rPr>
              <w:t>x</w:t>
            </w:r>
            <w:proofErr w:type="spellEnd"/>
          </w:p>
        </w:tc>
        <w:tc>
          <w:tcPr>
            <w:tcW w:w="3409" w:type="dxa"/>
            <w:vAlign w:val="center"/>
          </w:tcPr>
          <w:p w14:paraId="68E932E1" w14:textId="77777777" w:rsidR="00E4682E" w:rsidRPr="00DF2638" w:rsidRDefault="00E4682E" w:rsidP="00D74564">
            <w:pPr>
              <w:pBdr>
                <w:top w:val="nil"/>
                <w:left w:val="nil"/>
                <w:bottom w:val="nil"/>
                <w:right w:val="nil"/>
                <w:between w:val="nil"/>
              </w:pBdr>
              <w:rPr>
                <w:bCs/>
                <w:color w:val="808080"/>
              </w:rPr>
            </w:pPr>
            <w:r w:rsidRPr="00DF2638">
              <w:rPr>
                <w:bCs/>
                <w:color w:val="808080"/>
              </w:rPr>
              <w:t>“Mencione el producto”</w:t>
            </w:r>
          </w:p>
        </w:tc>
      </w:tr>
      <w:bookmarkEnd w:id="0"/>
    </w:tbl>
    <w:p w14:paraId="4E570216" w14:textId="77777777" w:rsidR="00E4682E" w:rsidRPr="00DF2638" w:rsidRDefault="00E4682E" w:rsidP="00E4682E">
      <w:pPr>
        <w:pStyle w:val="Prrafodelista"/>
        <w:autoSpaceDN w:val="0"/>
        <w:contextualSpacing w:val="0"/>
        <w:textAlignment w:val="baseline"/>
        <w:rPr>
          <w:rFonts w:ascii="Verdana" w:hAnsi="Verdana" w:cs="Arial"/>
          <w:bCs/>
          <w:i w:val="0"/>
          <w:sz w:val="22"/>
          <w:szCs w:val="22"/>
          <w:lang w:val="es-ES_tradnl" w:eastAsia="es-CO"/>
        </w:rPr>
      </w:pPr>
    </w:p>
    <w:p w14:paraId="08393A7B" w14:textId="504DA8F1" w:rsidR="00E4682E" w:rsidRPr="00DF2638" w:rsidRDefault="00E4682E" w:rsidP="00E4682E">
      <w:pPr>
        <w:pStyle w:val="Prrafodelista"/>
        <w:numPr>
          <w:ilvl w:val="0"/>
          <w:numId w:val="2"/>
        </w:numPr>
        <w:autoSpaceDN w:val="0"/>
        <w:contextualSpacing w:val="0"/>
        <w:textAlignment w:val="baseline"/>
        <w:rPr>
          <w:rFonts w:ascii="Verdana" w:hAnsi="Verdana" w:cs="Arial"/>
          <w:b/>
          <w:i w:val="0"/>
          <w:sz w:val="22"/>
          <w:szCs w:val="22"/>
          <w:lang w:val="es-ES_tradnl" w:eastAsia="es-CO"/>
        </w:rPr>
      </w:pPr>
      <w:r w:rsidRPr="00DF2638">
        <w:rPr>
          <w:rFonts w:ascii="Verdana" w:hAnsi="Verdana" w:cs="Arial"/>
          <w:b/>
          <w:i w:val="0"/>
          <w:sz w:val="22"/>
          <w:szCs w:val="22"/>
          <w:lang w:val="es-ES_tradnl" w:eastAsia="es-CO"/>
        </w:rPr>
        <w:t>Modalidad de selección del contratista</w:t>
      </w:r>
    </w:p>
    <w:p w14:paraId="2BFE9247" w14:textId="77777777" w:rsidR="00E4682E" w:rsidRPr="00DF2638" w:rsidRDefault="00E4682E" w:rsidP="00E4682E">
      <w:pPr>
        <w:pStyle w:val="Prrafodelista"/>
        <w:autoSpaceDN w:val="0"/>
        <w:contextualSpacing w:val="0"/>
        <w:textAlignment w:val="baseline"/>
        <w:rPr>
          <w:rFonts w:ascii="Verdana" w:hAnsi="Verdana" w:cs="Arial"/>
          <w:bCs/>
          <w:i w:val="0"/>
          <w:sz w:val="22"/>
          <w:szCs w:val="22"/>
          <w:lang w:val="es-ES_tradnl" w:eastAsia="es-CO"/>
        </w:rPr>
      </w:pPr>
    </w:p>
    <w:p w14:paraId="16852746" w14:textId="44018758" w:rsidR="00E4682E" w:rsidRPr="00DF2638" w:rsidRDefault="00E4682E" w:rsidP="00E4682E">
      <w:pPr>
        <w:jc w:val="both"/>
        <w:rPr>
          <w:rFonts w:cs="Arial"/>
          <w:bCs/>
          <w:color w:val="FF0000"/>
          <w:lang w:val="es-ES_tradnl" w:eastAsia="es-CO"/>
        </w:rPr>
      </w:pPr>
      <w:r w:rsidRPr="00DF2638">
        <w:rPr>
          <w:rFonts w:cs="Arial"/>
          <w:bCs/>
          <w:color w:val="FF0000"/>
          <w:lang w:val="es-ES_tradnl" w:eastAsia="es-CO"/>
        </w:rPr>
        <w:t>Diligencie la normatividad correspondiente a la modalidad de selección.</w:t>
      </w:r>
    </w:p>
    <w:p w14:paraId="556AACFD" w14:textId="77777777" w:rsidR="00E4682E" w:rsidRPr="00DF2638" w:rsidRDefault="00E4682E" w:rsidP="00E4682E">
      <w:pPr>
        <w:jc w:val="both"/>
        <w:rPr>
          <w:rFonts w:cs="Arial"/>
          <w:bCs/>
          <w:lang w:val="es-ES_tradnl" w:eastAsia="es-CO"/>
        </w:rPr>
      </w:pPr>
    </w:p>
    <w:p w14:paraId="4124670E" w14:textId="2C066F14" w:rsidR="00E4682E" w:rsidRPr="00DF2638" w:rsidRDefault="00E4682E" w:rsidP="00E4682E">
      <w:pPr>
        <w:jc w:val="both"/>
        <w:rPr>
          <w:rFonts w:cs="Arial"/>
          <w:bCs/>
          <w:lang w:val="es-ES_tradnl" w:eastAsia="es-CO"/>
        </w:rPr>
      </w:pPr>
      <w:r w:rsidRPr="00DF2638">
        <w:rPr>
          <w:rFonts w:cs="Arial"/>
          <w:bCs/>
          <w:lang w:val="es-ES_tradnl" w:eastAsia="es-CO"/>
        </w:rPr>
        <w:t xml:space="preserve">Tipología contractual: </w:t>
      </w:r>
      <w:r w:rsidRPr="00DF2638">
        <w:rPr>
          <w:rFonts w:cs="Arial"/>
          <w:bCs/>
          <w:color w:val="FF0000"/>
          <w:lang w:val="es-ES_tradnl" w:eastAsia="es-CO"/>
        </w:rPr>
        <w:t>Diligencie el tipo de contrato derivado de esta modalidad.</w:t>
      </w:r>
    </w:p>
    <w:p w14:paraId="2C9255AF" w14:textId="77777777" w:rsidR="00E4682E" w:rsidRPr="00DF2638" w:rsidRDefault="00E4682E" w:rsidP="00E4682E">
      <w:pPr>
        <w:jc w:val="both"/>
        <w:rPr>
          <w:rFonts w:cs="Arial"/>
          <w:bCs/>
          <w:lang w:val="es-ES_tradnl" w:eastAsia="es-CO"/>
        </w:rPr>
      </w:pPr>
    </w:p>
    <w:p w14:paraId="04EDED00" w14:textId="77777777" w:rsidR="00E4682E" w:rsidRPr="00DF2638" w:rsidRDefault="00E4682E" w:rsidP="00E4682E">
      <w:pPr>
        <w:pStyle w:val="Prrafodelista"/>
        <w:numPr>
          <w:ilvl w:val="0"/>
          <w:numId w:val="2"/>
        </w:numPr>
        <w:autoSpaceDN w:val="0"/>
        <w:contextualSpacing w:val="0"/>
        <w:textAlignment w:val="baseline"/>
        <w:rPr>
          <w:rFonts w:ascii="Verdana" w:hAnsi="Verdana" w:cs="Arial"/>
          <w:b/>
          <w:i w:val="0"/>
          <w:sz w:val="22"/>
          <w:szCs w:val="22"/>
          <w:lang w:val="es-ES_tradnl" w:eastAsia="es-CO"/>
        </w:rPr>
      </w:pPr>
      <w:r w:rsidRPr="00DF2638">
        <w:rPr>
          <w:rFonts w:ascii="Verdana" w:hAnsi="Verdana" w:cs="Arial"/>
          <w:b/>
          <w:i w:val="0"/>
          <w:sz w:val="22"/>
          <w:szCs w:val="22"/>
          <w:lang w:val="es-ES_tradnl" w:eastAsia="es-CO"/>
        </w:rPr>
        <w:t>Plazo de ejecución</w:t>
      </w:r>
    </w:p>
    <w:p w14:paraId="36A9C4FC" w14:textId="77777777" w:rsidR="00E4682E" w:rsidRPr="00DF2638" w:rsidRDefault="00E4682E" w:rsidP="00E4682E">
      <w:pPr>
        <w:jc w:val="both"/>
        <w:rPr>
          <w:rFonts w:cs="Arial"/>
          <w:bCs/>
          <w:lang w:val="es-ES_tradnl" w:eastAsia="es-CO"/>
        </w:rPr>
      </w:pPr>
    </w:p>
    <w:p w14:paraId="7AA0CD98" w14:textId="1940CA1B" w:rsidR="00E4682E" w:rsidRPr="00DF2638" w:rsidRDefault="00E4682E" w:rsidP="00E4682E">
      <w:pPr>
        <w:jc w:val="both"/>
        <w:rPr>
          <w:rFonts w:cs="Arial"/>
          <w:bCs/>
          <w:color w:val="FF0000"/>
          <w:lang w:val="es-ES_tradnl" w:eastAsia="es-CO"/>
        </w:rPr>
      </w:pPr>
      <w:r w:rsidRPr="00DF2638">
        <w:rPr>
          <w:rFonts w:cs="Arial"/>
          <w:bCs/>
          <w:color w:val="FF0000"/>
          <w:lang w:val="es-ES_tradnl" w:eastAsia="es-CO"/>
        </w:rPr>
        <w:t>Diligencie el plazo del contrato</w:t>
      </w:r>
    </w:p>
    <w:p w14:paraId="51289C76" w14:textId="77777777" w:rsidR="00E4682E" w:rsidRPr="00DF2638" w:rsidRDefault="00E4682E" w:rsidP="00E4682E">
      <w:pPr>
        <w:jc w:val="both"/>
        <w:rPr>
          <w:rFonts w:cs="Arial"/>
          <w:bCs/>
          <w:lang w:val="es-ES_tradnl" w:eastAsia="es-CO"/>
        </w:rPr>
      </w:pPr>
    </w:p>
    <w:p w14:paraId="05FC35B6" w14:textId="77777777" w:rsidR="00E4682E" w:rsidRPr="00DF2638" w:rsidRDefault="00E4682E" w:rsidP="00E4682E">
      <w:pPr>
        <w:pStyle w:val="Prrafodelista"/>
        <w:numPr>
          <w:ilvl w:val="0"/>
          <w:numId w:val="2"/>
        </w:numPr>
        <w:autoSpaceDN w:val="0"/>
        <w:contextualSpacing w:val="0"/>
        <w:textAlignment w:val="baseline"/>
        <w:rPr>
          <w:rFonts w:ascii="Verdana" w:hAnsi="Verdana" w:cs="Arial"/>
          <w:b/>
          <w:i w:val="0"/>
          <w:sz w:val="22"/>
          <w:szCs w:val="22"/>
          <w:lang w:val="es-ES_tradnl" w:eastAsia="es-CO"/>
        </w:rPr>
      </w:pPr>
      <w:r w:rsidRPr="00DF2638">
        <w:rPr>
          <w:rFonts w:ascii="Verdana" w:hAnsi="Verdana" w:cs="Arial"/>
          <w:b/>
          <w:i w:val="0"/>
          <w:sz w:val="22"/>
          <w:szCs w:val="22"/>
          <w:lang w:val="es-ES_tradnl" w:eastAsia="es-CO"/>
        </w:rPr>
        <w:t>Plazo para la presentación de propuestas, lugar y forma de presentación de las mismas</w:t>
      </w:r>
    </w:p>
    <w:p w14:paraId="37A53367" w14:textId="77777777" w:rsidR="00E4682E" w:rsidRPr="00DF2638" w:rsidRDefault="00E4682E" w:rsidP="00E4682E">
      <w:pPr>
        <w:jc w:val="both"/>
        <w:rPr>
          <w:rFonts w:cs="Arial"/>
          <w:bCs/>
          <w:lang w:val="es-ES_tradnl" w:eastAsia="es-CO"/>
        </w:rPr>
      </w:pPr>
    </w:p>
    <w:p w14:paraId="57B1B74E" w14:textId="4FEF3B1D" w:rsidR="00E4682E" w:rsidRPr="00DF2638" w:rsidRDefault="00E4682E" w:rsidP="00E4682E">
      <w:pPr>
        <w:jc w:val="both"/>
        <w:rPr>
          <w:rFonts w:cs="Arial"/>
          <w:bCs/>
          <w:lang w:val="es-ES_tradnl" w:eastAsia="es-CO"/>
        </w:rPr>
      </w:pPr>
      <w:r w:rsidRPr="00DF2638">
        <w:rPr>
          <w:rFonts w:cs="Arial"/>
          <w:bCs/>
          <w:lang w:val="es-ES_tradnl" w:eastAsia="es-CO"/>
        </w:rPr>
        <w:t>Las propuestas podrán presentarse desde la expedición del acto administrativo que ordene la apertura y hasta la fecha y hora determinada para el cierre del Proceso de Contratación, de acuerdo con el cronograma establecido en la plataforma transaccional de SECOP II que se visualiza dentro del proceso No. XXXXXXXXXXXXXXXXXX.</w:t>
      </w:r>
    </w:p>
    <w:p w14:paraId="57D210B6" w14:textId="77777777" w:rsidR="00E4682E" w:rsidRPr="00DF2638" w:rsidRDefault="00E4682E" w:rsidP="00E4682E">
      <w:pPr>
        <w:jc w:val="both"/>
        <w:rPr>
          <w:rFonts w:cs="Arial"/>
          <w:bCs/>
          <w:lang w:val="es-ES_tradnl" w:eastAsia="es-CO"/>
        </w:rPr>
      </w:pPr>
    </w:p>
    <w:p w14:paraId="30D80D1B" w14:textId="68BEB03D" w:rsidR="00E4682E" w:rsidRPr="00DF2638" w:rsidRDefault="00E4682E" w:rsidP="00E4682E">
      <w:pPr>
        <w:jc w:val="both"/>
        <w:rPr>
          <w:rFonts w:cs="Arial"/>
          <w:bCs/>
          <w:lang w:val="es-ES_tradnl" w:eastAsia="es-CO"/>
        </w:rPr>
      </w:pPr>
      <w:r w:rsidRPr="00DF2638">
        <w:rPr>
          <w:rFonts w:cs="Arial"/>
          <w:bCs/>
          <w:lang w:val="es-ES_tradnl" w:eastAsia="es-CO"/>
        </w:rPr>
        <w:t>Las propuestas deberán radicarse únicamente en la plataforma transaccional de SECOP II, dentro del proceso No. XXXXXXXXXXXXXXXX, en la fecha y hora prevista en el cronograma para el cierre del Proceso de Contratación. La hora establecida para el cierre en el cronograma del proceso tendrá como referencia la hora legal de la República de Colombia.</w:t>
      </w:r>
    </w:p>
    <w:p w14:paraId="6B7B895E" w14:textId="77777777" w:rsidR="00E4682E" w:rsidRPr="00DF2638" w:rsidRDefault="00E4682E" w:rsidP="00E4682E">
      <w:pPr>
        <w:jc w:val="both"/>
        <w:rPr>
          <w:rFonts w:cs="Arial"/>
          <w:bCs/>
          <w:lang w:val="es-ES_tradnl" w:eastAsia="es-CO"/>
        </w:rPr>
      </w:pPr>
    </w:p>
    <w:p w14:paraId="7D51BCB4" w14:textId="77777777" w:rsidR="00E4682E" w:rsidRPr="00DF2638" w:rsidRDefault="00E4682E" w:rsidP="00E4682E">
      <w:pPr>
        <w:jc w:val="both"/>
        <w:rPr>
          <w:rFonts w:cs="Arial"/>
          <w:bCs/>
          <w:lang w:val="es-ES_tradnl" w:eastAsia="es-CO"/>
        </w:rPr>
      </w:pPr>
      <w:r w:rsidRPr="00DF2638">
        <w:rPr>
          <w:rFonts w:cs="Arial"/>
          <w:bCs/>
          <w:lang w:val="es-ES_tradnl" w:eastAsia="es-CO"/>
        </w:rPr>
        <w:t>La apertura de las propuestas se realizará en la plataforma transaccional de SECOP II el día y hora señalados en el cronograma del proceso.</w:t>
      </w:r>
    </w:p>
    <w:p w14:paraId="43C13269" w14:textId="77777777" w:rsidR="00E4682E" w:rsidRPr="00DF2638" w:rsidRDefault="00E4682E" w:rsidP="00E4682E">
      <w:pPr>
        <w:jc w:val="both"/>
        <w:rPr>
          <w:rFonts w:cs="Arial"/>
          <w:bCs/>
          <w:lang w:val="es-ES_tradnl" w:eastAsia="es-CO"/>
        </w:rPr>
      </w:pPr>
    </w:p>
    <w:p w14:paraId="65B7CB12" w14:textId="77777777" w:rsidR="00E4682E" w:rsidRPr="00DF2638" w:rsidRDefault="00E4682E" w:rsidP="00E4682E">
      <w:pPr>
        <w:jc w:val="both"/>
        <w:rPr>
          <w:rFonts w:cs="Arial"/>
          <w:bCs/>
          <w:lang w:val="es-ES_tradnl" w:eastAsia="es-CO"/>
        </w:rPr>
      </w:pPr>
      <w:r w:rsidRPr="00DF2638">
        <w:rPr>
          <w:rFonts w:cs="Arial"/>
          <w:bCs/>
          <w:lang w:val="es-ES_tradnl" w:eastAsia="es-CO"/>
        </w:rPr>
        <w:lastRenderedPageBreak/>
        <w:t>No serán aceptadas propuestas presentadas con posterioridad a la fecha y hora señaladas para el cierre del proceso.</w:t>
      </w:r>
    </w:p>
    <w:p w14:paraId="56F66514" w14:textId="77777777" w:rsidR="00E4682E" w:rsidRPr="00DF2638" w:rsidRDefault="00E4682E" w:rsidP="00E4682E">
      <w:pPr>
        <w:jc w:val="both"/>
        <w:rPr>
          <w:rFonts w:cs="Arial"/>
          <w:bCs/>
          <w:lang w:val="es-ES_tradnl" w:eastAsia="es-CO"/>
        </w:rPr>
      </w:pPr>
    </w:p>
    <w:p w14:paraId="45908D8D" w14:textId="77777777" w:rsidR="00E4682E" w:rsidRPr="00DF2638" w:rsidRDefault="00E4682E" w:rsidP="00E4682E">
      <w:pPr>
        <w:jc w:val="both"/>
        <w:rPr>
          <w:rFonts w:cs="Arial"/>
          <w:bCs/>
          <w:lang w:val="es-ES_tradnl" w:eastAsia="es-CO"/>
        </w:rPr>
      </w:pPr>
      <w:r w:rsidRPr="00DF2638">
        <w:rPr>
          <w:rFonts w:cs="Arial"/>
          <w:bCs/>
          <w:lang w:val="es-ES_tradnl" w:eastAsia="es-CO"/>
        </w:rPr>
        <w:t>A partir de la fecha y hora de cierre del presente proceso los proponentes no podrán retirar, adicionar o corregir sus propuestas.</w:t>
      </w:r>
    </w:p>
    <w:p w14:paraId="55933988" w14:textId="77777777" w:rsidR="00E4682E" w:rsidRPr="00DF2638" w:rsidRDefault="00E4682E" w:rsidP="00E4682E">
      <w:pPr>
        <w:jc w:val="both"/>
        <w:rPr>
          <w:rFonts w:cs="Arial"/>
          <w:bCs/>
          <w:lang w:val="es-ES_tradnl" w:eastAsia="es-CO"/>
        </w:rPr>
      </w:pPr>
    </w:p>
    <w:p w14:paraId="0C12F20C" w14:textId="77777777" w:rsidR="00E4682E" w:rsidRPr="00DF2638" w:rsidRDefault="00E4682E" w:rsidP="00E4682E">
      <w:pPr>
        <w:pStyle w:val="Prrafodelista"/>
        <w:numPr>
          <w:ilvl w:val="0"/>
          <w:numId w:val="2"/>
        </w:numPr>
        <w:autoSpaceDN w:val="0"/>
        <w:contextualSpacing w:val="0"/>
        <w:textAlignment w:val="baseline"/>
        <w:rPr>
          <w:rFonts w:ascii="Verdana" w:hAnsi="Verdana" w:cs="Arial"/>
          <w:b/>
          <w:i w:val="0"/>
          <w:sz w:val="22"/>
          <w:szCs w:val="22"/>
          <w:lang w:val="es-ES_tradnl" w:eastAsia="es-CO"/>
        </w:rPr>
      </w:pPr>
      <w:r w:rsidRPr="00DF2638">
        <w:rPr>
          <w:rFonts w:ascii="Verdana" w:hAnsi="Verdana" w:cs="Arial"/>
          <w:b/>
          <w:i w:val="0"/>
          <w:sz w:val="22"/>
          <w:szCs w:val="22"/>
          <w:lang w:val="es-ES_tradnl" w:eastAsia="es-CO"/>
        </w:rPr>
        <w:t>Presupuesto oficial y disponibilidad presupuestal</w:t>
      </w:r>
    </w:p>
    <w:p w14:paraId="4DDC6F74" w14:textId="77777777" w:rsidR="00E4682E" w:rsidRPr="00DF2638" w:rsidRDefault="00E4682E" w:rsidP="00E4682E">
      <w:pPr>
        <w:jc w:val="both"/>
        <w:rPr>
          <w:rFonts w:cs="Arial"/>
          <w:bCs/>
          <w:lang w:val="es-ES_tradnl" w:eastAsia="es-CO"/>
        </w:rPr>
      </w:pPr>
    </w:p>
    <w:p w14:paraId="1CAC9EB8" w14:textId="6A9A8790" w:rsidR="00E4682E" w:rsidRPr="00DF2638" w:rsidRDefault="00E4682E" w:rsidP="00E4682E">
      <w:pPr>
        <w:jc w:val="both"/>
        <w:rPr>
          <w:rFonts w:cs="Arial"/>
          <w:bCs/>
          <w:lang w:val="es-ES_tradnl" w:eastAsia="es-CO"/>
        </w:rPr>
      </w:pPr>
      <w:r w:rsidRPr="00DF2638">
        <w:rPr>
          <w:rFonts w:cs="Arial"/>
          <w:bCs/>
          <w:lang w:val="es-ES_tradnl" w:eastAsia="es-CO"/>
        </w:rPr>
        <w:t xml:space="preserve">La </w:t>
      </w:r>
      <w:r w:rsidRPr="00DF2638">
        <w:rPr>
          <w:rFonts w:cs="Arial"/>
          <w:bCs/>
        </w:rPr>
        <w:t xml:space="preserve">Unidad Administrativa Especial Contaduría General de la Nación, (U.A.E-CGN) </w:t>
      </w:r>
      <w:r w:rsidRPr="00DF2638">
        <w:rPr>
          <w:rFonts w:cs="Arial"/>
          <w:bCs/>
          <w:lang w:val="es-ES_tradnl" w:eastAsia="es-CO"/>
        </w:rPr>
        <w:t>de acuerdo con el análisis de sector y estudio de mercado adelantado, ha estimado para el cumplimiento del contrato derivado del presente proceso de selección, un presupuesto por la suma de</w:t>
      </w:r>
      <w:r w:rsidRPr="00DF2638">
        <w:rPr>
          <w:bCs/>
        </w:rPr>
        <w:t xml:space="preserve"> </w:t>
      </w:r>
      <w:r w:rsidRPr="00DF2638">
        <w:rPr>
          <w:rFonts w:cs="Arial"/>
          <w:bCs/>
          <w:lang w:val="es-ES_tradnl" w:eastAsia="es-CO"/>
        </w:rPr>
        <w:t>XXXXXXXXXXXXXXXXX DE PESOS M/CTE ($XXXXXXX), incluido impuestos, retenciones, garantías, costos y gravámenes a que haya lugar con ocasión de la celebración, ejecución y liquidación del mismo, que se financiará con cargo al presupuesto de inversión del distrito de Santiago de Cali para la vigencia fiscal 20XX y de conformidad al PAC.</w:t>
      </w:r>
    </w:p>
    <w:p w14:paraId="2551A9B3" w14:textId="77777777" w:rsidR="00E4682E" w:rsidRPr="00DF2638" w:rsidRDefault="00E4682E" w:rsidP="00E4682E">
      <w:pPr>
        <w:jc w:val="both"/>
        <w:rPr>
          <w:rFonts w:cs="Arial"/>
          <w:bCs/>
          <w:lang w:val="es-ES_tradnl" w:eastAsia="es-CO"/>
        </w:rPr>
      </w:pPr>
    </w:p>
    <w:p w14:paraId="48E7FBFD" w14:textId="01D9BC4F" w:rsidR="00E4682E" w:rsidRPr="00DF2638" w:rsidRDefault="00E4682E" w:rsidP="00E4682E">
      <w:pPr>
        <w:jc w:val="both"/>
        <w:rPr>
          <w:rFonts w:cs="Arial"/>
          <w:bCs/>
          <w:lang w:val="es-ES_tradnl" w:eastAsia="es-CO"/>
        </w:rPr>
      </w:pPr>
      <w:r w:rsidRPr="00DF2638">
        <w:rPr>
          <w:rFonts w:cs="Arial"/>
          <w:bCs/>
          <w:lang w:val="es-ES_tradnl" w:eastAsia="es-CO"/>
        </w:rPr>
        <w:t xml:space="preserve">La Unidad Administrativa Especial Contaduría General de la Nación, (U.A.E-CGN) cuenta con el Certificado de Disponibilidad Presupuestal No. </w:t>
      </w:r>
      <w:r w:rsidRPr="0029555F">
        <w:rPr>
          <w:rFonts w:cs="Arial"/>
          <w:bCs/>
          <w:lang w:val="es-ES_tradnl" w:eastAsia="es-CO"/>
        </w:rPr>
        <w:t>XXXXXXXXXXXX expedido el XXX de XXXX de 20XX por</w:t>
      </w:r>
      <w:r w:rsidRPr="00DF2638">
        <w:rPr>
          <w:rFonts w:cs="Arial"/>
          <w:bCs/>
          <w:lang w:val="es-ES_tradnl" w:eastAsia="es-CO"/>
        </w:rPr>
        <w:t xml:space="preserve"> valor</w:t>
      </w:r>
      <w:r w:rsidRPr="00DF2638">
        <w:rPr>
          <w:bCs/>
        </w:rPr>
        <w:t xml:space="preserve"> </w:t>
      </w:r>
      <w:r w:rsidRPr="00DF2638">
        <w:rPr>
          <w:rFonts w:cs="Arial"/>
          <w:bCs/>
          <w:lang w:val="es-ES_tradnl" w:eastAsia="es-CO"/>
        </w:rPr>
        <w:t>XXXXXXXXXXXXXXXX DE PESOS M/CTE ($XXXXXXXXXXXX)</w:t>
      </w:r>
      <w:r w:rsidRPr="00DF2638">
        <w:rPr>
          <w:bCs/>
        </w:rPr>
        <w:t xml:space="preserve"> </w:t>
      </w:r>
      <w:r w:rsidRPr="00DF2638">
        <w:rPr>
          <w:rFonts w:cs="Arial"/>
          <w:bCs/>
          <w:lang w:val="es-ES_tradnl" w:eastAsia="es-CO"/>
        </w:rPr>
        <w:t>y apropiación presupuestal:</w:t>
      </w:r>
    </w:p>
    <w:p w14:paraId="06BAE916" w14:textId="77777777" w:rsidR="00E4682E" w:rsidRPr="00DF2638" w:rsidRDefault="00E4682E" w:rsidP="00E4682E">
      <w:pPr>
        <w:jc w:val="both"/>
        <w:rPr>
          <w:rFonts w:cs="Arial"/>
          <w:bCs/>
          <w:lang w:val="es-ES_tradnl" w:eastAsia="es-CO"/>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977"/>
      </w:tblGrid>
      <w:tr w:rsidR="00E4682E" w:rsidRPr="00DF2638" w14:paraId="3E31C79D" w14:textId="77777777" w:rsidTr="00D74564">
        <w:tc>
          <w:tcPr>
            <w:tcW w:w="5807" w:type="dxa"/>
            <w:shd w:val="clear" w:color="auto" w:fill="auto"/>
          </w:tcPr>
          <w:p w14:paraId="52F742DD" w14:textId="77777777" w:rsidR="00E4682E" w:rsidRPr="00DF2638" w:rsidRDefault="00E4682E" w:rsidP="00D74564">
            <w:pPr>
              <w:ind w:right="59"/>
              <w:rPr>
                <w:rFonts w:cs="Arial"/>
                <w:bCs/>
              </w:rPr>
            </w:pPr>
            <w:r w:rsidRPr="00DF2638">
              <w:rPr>
                <w:rFonts w:cs="Arial"/>
                <w:bCs/>
              </w:rPr>
              <w:t>GASTOS DE FUNCIONAMIENTO:</w:t>
            </w:r>
          </w:p>
        </w:tc>
        <w:tc>
          <w:tcPr>
            <w:tcW w:w="2977" w:type="dxa"/>
            <w:shd w:val="clear" w:color="auto" w:fill="auto"/>
          </w:tcPr>
          <w:p w14:paraId="72CD047B" w14:textId="77777777" w:rsidR="00E4682E" w:rsidRPr="00DF2638" w:rsidRDefault="00E4682E" w:rsidP="00D74564">
            <w:pPr>
              <w:ind w:right="59"/>
              <w:rPr>
                <w:rFonts w:cs="Arial"/>
                <w:bCs/>
              </w:rPr>
            </w:pPr>
          </w:p>
        </w:tc>
      </w:tr>
      <w:tr w:rsidR="00E4682E" w:rsidRPr="00DF2638" w14:paraId="6945621D" w14:textId="77777777" w:rsidTr="00D74564">
        <w:tc>
          <w:tcPr>
            <w:tcW w:w="5807" w:type="dxa"/>
            <w:shd w:val="clear" w:color="auto" w:fill="auto"/>
          </w:tcPr>
          <w:p w14:paraId="16C39F4A" w14:textId="77777777" w:rsidR="00E4682E" w:rsidRPr="00DF2638" w:rsidRDefault="00E4682E" w:rsidP="00D74564">
            <w:pPr>
              <w:ind w:right="59"/>
              <w:rPr>
                <w:rFonts w:cs="Arial"/>
                <w:bCs/>
              </w:rPr>
            </w:pPr>
            <w:r w:rsidRPr="00DF2638">
              <w:rPr>
                <w:rFonts w:cs="Arial"/>
                <w:bCs/>
              </w:rPr>
              <w:t>GASTOS DE INVERSIÓN:</w:t>
            </w:r>
          </w:p>
        </w:tc>
        <w:tc>
          <w:tcPr>
            <w:tcW w:w="2977" w:type="dxa"/>
            <w:shd w:val="clear" w:color="auto" w:fill="auto"/>
          </w:tcPr>
          <w:p w14:paraId="69C297C5" w14:textId="77777777" w:rsidR="00E4682E" w:rsidRPr="00DF2638" w:rsidRDefault="00E4682E" w:rsidP="00D74564">
            <w:pPr>
              <w:ind w:right="59"/>
              <w:jc w:val="center"/>
              <w:rPr>
                <w:rFonts w:cs="Arial"/>
                <w:bCs/>
              </w:rPr>
            </w:pPr>
            <w:r w:rsidRPr="00DF2638">
              <w:rPr>
                <w:rFonts w:cs="Arial"/>
                <w:bCs/>
                <w:color w:val="808080"/>
              </w:rPr>
              <w:t>X</w:t>
            </w:r>
          </w:p>
        </w:tc>
      </w:tr>
      <w:tr w:rsidR="00E4682E" w:rsidRPr="00DF2638" w14:paraId="41297907" w14:textId="77777777" w:rsidTr="00D74564">
        <w:tc>
          <w:tcPr>
            <w:tcW w:w="5807" w:type="dxa"/>
            <w:shd w:val="clear" w:color="auto" w:fill="auto"/>
          </w:tcPr>
          <w:p w14:paraId="25D1F4EA" w14:textId="77777777" w:rsidR="00E4682E" w:rsidRPr="00DF2638" w:rsidRDefault="00E4682E" w:rsidP="00D74564">
            <w:pPr>
              <w:ind w:right="59"/>
              <w:rPr>
                <w:rFonts w:cs="Arial"/>
                <w:bCs/>
              </w:rPr>
            </w:pPr>
            <w:r w:rsidRPr="00DF2638">
              <w:rPr>
                <w:rFonts w:cs="Arial"/>
                <w:bCs/>
              </w:rPr>
              <w:t xml:space="preserve">OBJETO DE GASTO: </w:t>
            </w:r>
          </w:p>
          <w:p w14:paraId="02AD6A96" w14:textId="77777777" w:rsidR="00E4682E" w:rsidRPr="00DF2638" w:rsidRDefault="00E4682E" w:rsidP="00E4682E">
            <w:pPr>
              <w:pStyle w:val="Prrafodelista"/>
              <w:widowControl w:val="0"/>
              <w:numPr>
                <w:ilvl w:val="0"/>
                <w:numId w:val="5"/>
              </w:numPr>
              <w:suppressAutoHyphens w:val="0"/>
              <w:autoSpaceDE w:val="0"/>
              <w:autoSpaceDN w:val="0"/>
              <w:ind w:left="0" w:right="59"/>
              <w:contextualSpacing w:val="0"/>
              <w:jc w:val="left"/>
              <w:rPr>
                <w:rFonts w:ascii="Verdana" w:hAnsi="Verdana" w:cs="Arial"/>
                <w:bCs/>
                <w:i w:val="0"/>
                <w:color w:val="808080"/>
                <w:sz w:val="22"/>
                <w:szCs w:val="22"/>
              </w:rPr>
            </w:pPr>
            <w:r w:rsidRPr="00DF2638">
              <w:rPr>
                <w:rFonts w:ascii="Verdana" w:hAnsi="Verdana" w:cs="Arial"/>
                <w:bCs/>
                <w:i w:val="0"/>
                <w:sz w:val="22"/>
                <w:szCs w:val="22"/>
              </w:rPr>
              <w:t xml:space="preserve">Nombre del proyecto: </w:t>
            </w:r>
            <w:r w:rsidRPr="00DF2638">
              <w:rPr>
                <w:rFonts w:ascii="Verdana" w:hAnsi="Verdana" w:cs="Arial"/>
                <w:bCs/>
                <w:i w:val="0"/>
                <w:color w:val="808080"/>
                <w:sz w:val="22"/>
                <w:szCs w:val="22"/>
              </w:rPr>
              <w:t>“Relacionar el nombre del proyecto”</w:t>
            </w:r>
          </w:p>
          <w:p w14:paraId="51DEAB19" w14:textId="77777777" w:rsidR="00E4682E" w:rsidRPr="00DF2638" w:rsidRDefault="00E4682E" w:rsidP="00E4682E">
            <w:pPr>
              <w:pStyle w:val="Prrafodelista"/>
              <w:widowControl w:val="0"/>
              <w:numPr>
                <w:ilvl w:val="0"/>
                <w:numId w:val="5"/>
              </w:numPr>
              <w:suppressAutoHyphens w:val="0"/>
              <w:autoSpaceDE w:val="0"/>
              <w:autoSpaceDN w:val="0"/>
              <w:ind w:left="0" w:right="59"/>
              <w:contextualSpacing w:val="0"/>
              <w:jc w:val="left"/>
              <w:rPr>
                <w:rFonts w:ascii="Verdana" w:hAnsi="Verdana" w:cs="Arial"/>
                <w:bCs/>
                <w:i w:val="0"/>
                <w:color w:val="808080"/>
                <w:sz w:val="22"/>
                <w:szCs w:val="22"/>
              </w:rPr>
            </w:pPr>
            <w:r w:rsidRPr="00DF2638">
              <w:rPr>
                <w:rFonts w:ascii="Verdana" w:hAnsi="Verdana" w:cs="Arial"/>
                <w:bCs/>
                <w:i w:val="0"/>
                <w:sz w:val="22"/>
                <w:szCs w:val="22"/>
              </w:rPr>
              <w:t>Objetivo: “</w:t>
            </w:r>
            <w:r w:rsidRPr="00DF2638">
              <w:rPr>
                <w:rFonts w:ascii="Verdana" w:hAnsi="Verdana" w:cs="Arial"/>
                <w:bCs/>
                <w:i w:val="0"/>
                <w:color w:val="808080"/>
                <w:sz w:val="22"/>
                <w:szCs w:val="22"/>
              </w:rPr>
              <w:t>Relacionar el objeto del proceso”</w:t>
            </w:r>
          </w:p>
          <w:p w14:paraId="6656B72C" w14:textId="77777777" w:rsidR="00E4682E" w:rsidRPr="00DF2638" w:rsidRDefault="00E4682E" w:rsidP="00E4682E">
            <w:pPr>
              <w:pStyle w:val="Prrafodelista"/>
              <w:widowControl w:val="0"/>
              <w:numPr>
                <w:ilvl w:val="0"/>
                <w:numId w:val="5"/>
              </w:numPr>
              <w:suppressAutoHyphens w:val="0"/>
              <w:autoSpaceDE w:val="0"/>
              <w:autoSpaceDN w:val="0"/>
              <w:ind w:left="0" w:right="59"/>
              <w:contextualSpacing w:val="0"/>
              <w:jc w:val="left"/>
              <w:rPr>
                <w:rFonts w:ascii="Verdana" w:hAnsi="Verdana" w:cs="Arial"/>
                <w:bCs/>
                <w:i w:val="0"/>
                <w:color w:val="808080"/>
                <w:sz w:val="22"/>
                <w:szCs w:val="22"/>
              </w:rPr>
            </w:pPr>
            <w:r w:rsidRPr="00DF2638">
              <w:rPr>
                <w:rFonts w:ascii="Verdana" w:hAnsi="Verdana" w:cs="Arial"/>
                <w:bCs/>
                <w:i w:val="0"/>
                <w:sz w:val="22"/>
                <w:szCs w:val="22"/>
              </w:rPr>
              <w:t>Producto:</w:t>
            </w:r>
            <w:r w:rsidRPr="00DF2638">
              <w:rPr>
                <w:rFonts w:ascii="Verdana" w:hAnsi="Verdana" w:cs="Arial"/>
                <w:bCs/>
                <w:i w:val="0"/>
                <w:color w:val="808080"/>
                <w:sz w:val="22"/>
                <w:szCs w:val="22"/>
              </w:rPr>
              <w:t xml:space="preserve"> “Indique cual es el producto.”</w:t>
            </w:r>
          </w:p>
          <w:p w14:paraId="27BE02B4" w14:textId="77777777" w:rsidR="00E4682E" w:rsidRPr="00DF2638" w:rsidRDefault="00E4682E" w:rsidP="00E4682E">
            <w:pPr>
              <w:pStyle w:val="Prrafodelista"/>
              <w:widowControl w:val="0"/>
              <w:numPr>
                <w:ilvl w:val="0"/>
                <w:numId w:val="5"/>
              </w:numPr>
              <w:suppressAutoHyphens w:val="0"/>
              <w:autoSpaceDE w:val="0"/>
              <w:autoSpaceDN w:val="0"/>
              <w:ind w:left="0" w:right="59"/>
              <w:contextualSpacing w:val="0"/>
              <w:jc w:val="left"/>
              <w:rPr>
                <w:rFonts w:ascii="Verdana" w:hAnsi="Verdana" w:cs="Arial"/>
                <w:bCs/>
                <w:i w:val="0"/>
                <w:sz w:val="22"/>
                <w:szCs w:val="22"/>
              </w:rPr>
            </w:pPr>
            <w:r w:rsidRPr="00DF2638">
              <w:rPr>
                <w:rFonts w:ascii="Verdana" w:hAnsi="Verdana" w:cs="Arial"/>
                <w:bCs/>
                <w:i w:val="0"/>
                <w:sz w:val="22"/>
                <w:szCs w:val="22"/>
              </w:rPr>
              <w:t>Actividades:</w:t>
            </w:r>
            <w:r w:rsidRPr="00DF2638">
              <w:rPr>
                <w:rFonts w:ascii="Verdana" w:hAnsi="Verdana" w:cs="Arial"/>
                <w:bCs/>
                <w:i w:val="0"/>
                <w:color w:val="808080"/>
                <w:sz w:val="22"/>
                <w:szCs w:val="22"/>
              </w:rPr>
              <w:t>” Describa las actividades”</w:t>
            </w:r>
          </w:p>
          <w:p w14:paraId="3F7A8690" w14:textId="77777777" w:rsidR="00E4682E" w:rsidRPr="00DF2638" w:rsidRDefault="00E4682E" w:rsidP="00D74564">
            <w:pPr>
              <w:rPr>
                <w:rFonts w:cs="Arial"/>
                <w:bCs/>
                <w:lang w:val="es-ES"/>
              </w:rPr>
            </w:pPr>
          </w:p>
        </w:tc>
        <w:tc>
          <w:tcPr>
            <w:tcW w:w="2977" w:type="dxa"/>
            <w:shd w:val="clear" w:color="auto" w:fill="auto"/>
          </w:tcPr>
          <w:p w14:paraId="5A890D9D" w14:textId="77777777" w:rsidR="00E4682E" w:rsidRPr="00DF2638" w:rsidRDefault="00E4682E" w:rsidP="00D74564">
            <w:pPr>
              <w:ind w:right="59"/>
              <w:jc w:val="center"/>
              <w:rPr>
                <w:rFonts w:cs="Arial"/>
                <w:bCs/>
                <w:lang w:val="es-ES"/>
              </w:rPr>
            </w:pPr>
          </w:p>
          <w:p w14:paraId="56DC2EEE" w14:textId="77777777" w:rsidR="00E4682E" w:rsidRPr="00DF2638" w:rsidRDefault="00E4682E" w:rsidP="00D74564">
            <w:pPr>
              <w:ind w:right="59"/>
              <w:jc w:val="center"/>
              <w:rPr>
                <w:rFonts w:cs="Arial"/>
                <w:bCs/>
                <w:lang w:val="es-ES"/>
              </w:rPr>
            </w:pPr>
          </w:p>
          <w:p w14:paraId="580133B5" w14:textId="77777777" w:rsidR="00E4682E" w:rsidRPr="00DF2638" w:rsidRDefault="00E4682E" w:rsidP="00D74564">
            <w:pPr>
              <w:ind w:right="59"/>
              <w:jc w:val="center"/>
              <w:rPr>
                <w:rFonts w:cs="Arial"/>
                <w:bCs/>
              </w:rPr>
            </w:pPr>
            <w:r w:rsidRPr="00DF2638">
              <w:rPr>
                <w:rFonts w:eastAsia="Calibri" w:cs="Calibri"/>
                <w:bCs/>
                <w:color w:val="808080"/>
              </w:rPr>
              <w:t>“Indique el código del rubro presupuestal”</w:t>
            </w:r>
          </w:p>
        </w:tc>
      </w:tr>
    </w:tbl>
    <w:p w14:paraId="4045DB34" w14:textId="77777777" w:rsidR="00E4682E" w:rsidRPr="00DF2638" w:rsidRDefault="00E4682E" w:rsidP="00E4682E">
      <w:pPr>
        <w:jc w:val="both"/>
        <w:rPr>
          <w:rFonts w:cs="Arial"/>
          <w:bCs/>
          <w:lang w:val="es-ES_tradnl" w:eastAsia="es-CO"/>
        </w:rPr>
      </w:pPr>
    </w:p>
    <w:p w14:paraId="4E4CCAD3" w14:textId="77777777" w:rsidR="00E4682E" w:rsidRPr="00DF2638" w:rsidRDefault="00E4682E" w:rsidP="00E4682E">
      <w:pPr>
        <w:pStyle w:val="Prrafodelista"/>
        <w:numPr>
          <w:ilvl w:val="0"/>
          <w:numId w:val="2"/>
        </w:numPr>
        <w:autoSpaceDN w:val="0"/>
        <w:contextualSpacing w:val="0"/>
        <w:textAlignment w:val="baseline"/>
        <w:rPr>
          <w:rFonts w:ascii="Verdana" w:hAnsi="Verdana" w:cs="Arial"/>
          <w:b/>
          <w:i w:val="0"/>
          <w:sz w:val="22"/>
          <w:szCs w:val="22"/>
          <w:lang w:val="es-ES_tradnl" w:eastAsia="es-CO"/>
        </w:rPr>
      </w:pPr>
      <w:r w:rsidRPr="00DF2638">
        <w:rPr>
          <w:rFonts w:ascii="Verdana" w:hAnsi="Verdana" w:cs="Arial"/>
          <w:b/>
          <w:i w:val="0"/>
          <w:sz w:val="22"/>
          <w:szCs w:val="22"/>
          <w:lang w:val="es-ES_tradnl" w:eastAsia="es-CO"/>
        </w:rPr>
        <w:t>Acuerdos y tratados internacionales</w:t>
      </w:r>
    </w:p>
    <w:p w14:paraId="730DED5F" w14:textId="77777777" w:rsidR="00E4682E" w:rsidRPr="00DF2638" w:rsidRDefault="00E4682E" w:rsidP="00E4682E">
      <w:pPr>
        <w:jc w:val="both"/>
        <w:rPr>
          <w:rFonts w:cs="Arial"/>
          <w:bCs/>
          <w:lang w:val="es-ES_tradnl" w:eastAsia="es-CO"/>
        </w:rPr>
      </w:pPr>
    </w:p>
    <w:p w14:paraId="785844DA" w14:textId="77777777" w:rsidR="00E4682E" w:rsidRPr="00DF2638" w:rsidRDefault="00E4682E" w:rsidP="00E4682E">
      <w:pPr>
        <w:jc w:val="both"/>
        <w:rPr>
          <w:rFonts w:cs="Arial"/>
          <w:bCs/>
          <w:lang w:val="es-ES_tradnl" w:eastAsia="es-CO"/>
        </w:rPr>
      </w:pPr>
      <w:r w:rsidRPr="00DF2638">
        <w:rPr>
          <w:rFonts w:cs="Arial"/>
          <w:bCs/>
          <w:lang w:val="es-ES_tradnl" w:eastAsia="es-CO"/>
        </w:rPr>
        <w:t xml:space="preserve">En virtud de lo establecido en los manuales explicativos de la Agencia de Contratación Colombia Compra Eficiente, respecto a los capítulos de contratación pública de los acuerdos comerciales negociados o tratados de libre comercio suscritos por Colombia, se procede a </w:t>
      </w:r>
      <w:r w:rsidRPr="00DF2638">
        <w:rPr>
          <w:rFonts w:cs="Arial"/>
          <w:bCs/>
          <w:lang w:val="es-ES_tradnl" w:eastAsia="es-CO"/>
        </w:rPr>
        <w:lastRenderedPageBreak/>
        <w:t>determinar si la contratación se encuentra cubierta por un acuerdo internacional o tratado de libre comercio vigente así:</w:t>
      </w:r>
    </w:p>
    <w:p w14:paraId="2523A2FA" w14:textId="77777777" w:rsidR="00E4682E" w:rsidRPr="00DF2638" w:rsidRDefault="00E4682E" w:rsidP="00E4682E">
      <w:pPr>
        <w:jc w:val="both"/>
        <w:rPr>
          <w:rFonts w:cs="Arial"/>
          <w:bCs/>
          <w:lang w:val="es-ES_tradnl" w:eastAsia="es-CO"/>
        </w:rPr>
      </w:pPr>
    </w:p>
    <w:p w14:paraId="63301647" w14:textId="77777777" w:rsidR="00E4682E" w:rsidRPr="00DF2638" w:rsidRDefault="00E4682E" w:rsidP="00E4682E">
      <w:pPr>
        <w:jc w:val="both"/>
        <w:rPr>
          <w:rFonts w:cs="Arial"/>
          <w:bCs/>
          <w:lang w:val="es-ES_tradnl" w:eastAsia="es-CO"/>
        </w:rPr>
      </w:pPr>
      <w:r w:rsidRPr="00DF2638">
        <w:rPr>
          <w:rFonts w:cs="Arial"/>
          <w:bCs/>
          <w:lang w:val="es-ES_tradnl" w:eastAsia="es-CO"/>
        </w:rPr>
        <w:t>En consecuencia, las ofertas presentadas por proponentes extranjeros de países con los cuales Colombia tiene Acuerdos Comerciales que cubren el presente Proceso de Contratación serán tratadas como ofertas de nacionales colombianos para efectos del otorgamiento del puntaje por apoyo a la industria nacional.</w:t>
      </w:r>
    </w:p>
    <w:p w14:paraId="46D38A3E" w14:textId="77777777" w:rsidR="00E4682E" w:rsidRPr="00DF2638" w:rsidRDefault="00E4682E" w:rsidP="00E4682E">
      <w:pPr>
        <w:jc w:val="both"/>
        <w:rPr>
          <w:rFonts w:cs="Arial"/>
          <w:bCs/>
          <w:lang w:val="es-ES_tradnl" w:eastAsia="es-CO"/>
        </w:rPr>
      </w:pPr>
    </w:p>
    <w:p w14:paraId="3C6B4E4E" w14:textId="77777777" w:rsidR="00E4682E" w:rsidRPr="00DF2638" w:rsidRDefault="00E4682E" w:rsidP="00E4682E">
      <w:pPr>
        <w:pStyle w:val="Prrafodelista"/>
        <w:numPr>
          <w:ilvl w:val="0"/>
          <w:numId w:val="2"/>
        </w:numPr>
        <w:autoSpaceDN w:val="0"/>
        <w:contextualSpacing w:val="0"/>
        <w:textAlignment w:val="baseline"/>
        <w:rPr>
          <w:rFonts w:ascii="Verdana" w:hAnsi="Verdana" w:cs="Arial"/>
          <w:b/>
          <w:i w:val="0"/>
          <w:sz w:val="22"/>
          <w:szCs w:val="22"/>
          <w:lang w:val="es-ES_tradnl" w:eastAsia="es-CO"/>
        </w:rPr>
      </w:pPr>
      <w:r w:rsidRPr="00DF2638">
        <w:rPr>
          <w:rFonts w:ascii="Verdana" w:hAnsi="Verdana" w:cs="Arial"/>
          <w:b/>
          <w:i w:val="0"/>
          <w:sz w:val="22"/>
          <w:szCs w:val="22"/>
          <w:lang w:val="es-ES_tradnl" w:eastAsia="es-CO"/>
        </w:rPr>
        <w:t>Convocatoria limitada a MIPYMES</w:t>
      </w:r>
    </w:p>
    <w:p w14:paraId="494F7A42" w14:textId="77777777" w:rsidR="00E4682E" w:rsidRPr="00DF2638" w:rsidRDefault="00E4682E" w:rsidP="00E4682E">
      <w:pPr>
        <w:autoSpaceDN w:val="0"/>
        <w:textAlignment w:val="baseline"/>
        <w:rPr>
          <w:rFonts w:cs="Arial"/>
          <w:bCs/>
          <w:lang w:val="es-ES_tradnl" w:eastAsia="es-CO"/>
        </w:rPr>
      </w:pPr>
    </w:p>
    <w:p w14:paraId="2927ABD6" w14:textId="77777777" w:rsidR="00E4682E" w:rsidRPr="00DF2638" w:rsidRDefault="00E4682E" w:rsidP="00E4682E">
      <w:pPr>
        <w:autoSpaceDN w:val="0"/>
        <w:jc w:val="both"/>
        <w:textAlignment w:val="baseline"/>
        <w:rPr>
          <w:rFonts w:cs="Arial"/>
          <w:bCs/>
          <w:lang w:val="es-ES_tradnl" w:eastAsia="es-CO"/>
        </w:rPr>
      </w:pPr>
      <w:r w:rsidRPr="00DF2638">
        <w:rPr>
          <w:rFonts w:cs="Arial"/>
          <w:bCs/>
          <w:lang w:val="es-ES_tradnl" w:eastAsia="es-CO"/>
        </w:rPr>
        <w:t>En virtud de artículo 5 del Decreto 1860 del 2021 a través del cual se modifica el Artículo 2.2.1.2.4.2.2 de la Subsección 2 de la Sección 4 del Capítulo 2 del Título 1 de la Parte 2 del Libro 2 del Decreto 1082 de 2015, y reglamenta la limitación de la Convocatoria a Mipymes:</w:t>
      </w:r>
    </w:p>
    <w:p w14:paraId="71F808EE" w14:textId="77777777" w:rsidR="00E4682E" w:rsidRPr="00DF2638" w:rsidRDefault="00E4682E" w:rsidP="00E4682E">
      <w:pPr>
        <w:autoSpaceDN w:val="0"/>
        <w:jc w:val="both"/>
        <w:textAlignment w:val="baseline"/>
        <w:rPr>
          <w:rFonts w:cs="Arial"/>
          <w:bCs/>
          <w:lang w:val="es-ES_tradnl" w:eastAsia="es-CO"/>
        </w:rPr>
      </w:pPr>
    </w:p>
    <w:p w14:paraId="537B8AA5" w14:textId="77777777" w:rsidR="00E4682E" w:rsidRPr="00DF2638" w:rsidRDefault="00E4682E" w:rsidP="00E4682E">
      <w:pPr>
        <w:autoSpaceDN w:val="0"/>
        <w:jc w:val="both"/>
        <w:textAlignment w:val="baseline"/>
        <w:rPr>
          <w:rFonts w:cs="Arial"/>
          <w:bCs/>
          <w:lang w:val="es-ES_tradnl" w:eastAsia="es-CO"/>
        </w:rPr>
      </w:pPr>
      <w:r w:rsidRPr="00DF2638">
        <w:rPr>
          <w:rFonts w:cs="Arial"/>
          <w:bCs/>
          <w:lang w:val="es-ES_tradnl" w:eastAsia="es-CO"/>
        </w:rPr>
        <w:t>"ARTÍCULO 2.2.1.2.4.2.2. Convocatorias limitadas a Mipyme. Las Entidades Estatales independientemente de su régimen de contratación, los patrimonios autónomos constituidos por Entidades Estatales y los particulares que ejecuten recursos públicos, deben limitar la convocatoria de los Procesos de Contratación con pluralidad de oferentes a las Mipyme colombianas con mínimo un (1) año de existencia, cuando concurran los siguientes requisitos:</w:t>
      </w:r>
    </w:p>
    <w:p w14:paraId="4582C344" w14:textId="77777777" w:rsidR="00E4682E" w:rsidRPr="00DF2638" w:rsidRDefault="00E4682E" w:rsidP="00E4682E">
      <w:pPr>
        <w:autoSpaceDN w:val="0"/>
        <w:jc w:val="both"/>
        <w:textAlignment w:val="baseline"/>
        <w:rPr>
          <w:rFonts w:cs="Arial"/>
          <w:bCs/>
          <w:lang w:val="es-ES_tradnl" w:eastAsia="es-CO"/>
        </w:rPr>
      </w:pPr>
    </w:p>
    <w:p w14:paraId="4489F40D" w14:textId="77777777" w:rsidR="00E4682E" w:rsidRPr="00DF2638" w:rsidRDefault="00E4682E" w:rsidP="00E4682E">
      <w:pPr>
        <w:autoSpaceDN w:val="0"/>
        <w:jc w:val="both"/>
        <w:textAlignment w:val="baseline"/>
        <w:rPr>
          <w:rFonts w:cs="Arial"/>
          <w:bCs/>
          <w:lang w:val="es-ES_tradnl" w:eastAsia="es-CO"/>
        </w:rPr>
      </w:pPr>
      <w:r w:rsidRPr="00DF2638">
        <w:rPr>
          <w:rFonts w:cs="Arial"/>
          <w:bCs/>
          <w:lang w:val="es-ES_tradnl" w:eastAsia="es-CO"/>
        </w:rPr>
        <w:t>El valor del Proceso de Contratación sea menor a ciento veinticinco mil dólares de los Estados Unidos de América (US$125.000), liquidados con la tasa de cambio que para el efecto determina cada dos años el Ministerio de Comercio, Industria y Turismo.</w:t>
      </w:r>
    </w:p>
    <w:p w14:paraId="7B646339" w14:textId="77777777" w:rsidR="00E4682E" w:rsidRPr="00DF2638" w:rsidRDefault="00E4682E" w:rsidP="00E4682E">
      <w:pPr>
        <w:autoSpaceDN w:val="0"/>
        <w:jc w:val="both"/>
        <w:textAlignment w:val="baseline"/>
        <w:rPr>
          <w:rFonts w:cs="Arial"/>
          <w:bCs/>
          <w:lang w:val="es-ES_tradnl" w:eastAsia="es-CO"/>
        </w:rPr>
      </w:pPr>
    </w:p>
    <w:p w14:paraId="553F6D01" w14:textId="77777777" w:rsidR="00E4682E" w:rsidRPr="00DF2638" w:rsidRDefault="00E4682E" w:rsidP="00E4682E">
      <w:pPr>
        <w:autoSpaceDN w:val="0"/>
        <w:jc w:val="both"/>
        <w:textAlignment w:val="baseline"/>
        <w:rPr>
          <w:rFonts w:cs="Arial"/>
          <w:bCs/>
          <w:lang w:val="es-ES_tradnl" w:eastAsia="es-CO"/>
        </w:rPr>
      </w:pPr>
      <w:r w:rsidRPr="00DF2638">
        <w:rPr>
          <w:rFonts w:cs="Arial"/>
          <w:bCs/>
          <w:lang w:val="es-ES_tradnl" w:eastAsia="es-CO"/>
        </w:rPr>
        <w:t xml:space="preserve">Se hayan recibido solicitudes de por lo menos dos (2) Mipyme colombianas para limitar la convocatoria a Mipyme colombianas. Las Entidades Estatales independientemente de su régimen de contratación, los patrimonios autónomos constituidos por Entidades Estatales y Departamento Administrativo de la Función Pública Decreto 1860 de 2021 14 EVA - Gestor Normativo los particulares que ejecuten recursos públicos, deben recibir estas solicitudes por lo menos un (1) día hábil antes de la expedición del acto administrativo de apertura, o el que haga sus veces de acuerdo con la normativa aplicable a cada Proceso de Contratación. </w:t>
      </w:r>
    </w:p>
    <w:p w14:paraId="7D459D65" w14:textId="77777777" w:rsidR="00E4682E" w:rsidRPr="00DF2638" w:rsidRDefault="00E4682E" w:rsidP="00E4682E">
      <w:pPr>
        <w:autoSpaceDN w:val="0"/>
        <w:jc w:val="both"/>
        <w:textAlignment w:val="baseline"/>
        <w:rPr>
          <w:rFonts w:cs="Arial"/>
          <w:bCs/>
          <w:lang w:val="es-ES_tradnl" w:eastAsia="es-CO"/>
        </w:rPr>
      </w:pPr>
    </w:p>
    <w:p w14:paraId="72B42A51" w14:textId="77777777" w:rsidR="00E4682E" w:rsidRPr="00DF2638" w:rsidRDefault="00E4682E" w:rsidP="00E4682E">
      <w:pPr>
        <w:autoSpaceDN w:val="0"/>
        <w:jc w:val="both"/>
        <w:textAlignment w:val="baseline"/>
        <w:rPr>
          <w:rFonts w:cs="Arial"/>
          <w:bCs/>
          <w:lang w:val="es-ES_tradnl" w:eastAsia="es-CO"/>
        </w:rPr>
      </w:pPr>
      <w:r w:rsidRPr="00DF2638">
        <w:rPr>
          <w:rFonts w:cs="Arial"/>
          <w:bCs/>
          <w:lang w:val="es-ES_tradnl" w:eastAsia="es-CO"/>
        </w:rPr>
        <w:t>Tratándose de personas jurídicas, las solicitudes solo las podrán realizar Mipyme, cuyo objeto social les permita ejecutar el contrato relacionado con el proceso contractual.</w:t>
      </w:r>
    </w:p>
    <w:p w14:paraId="04C864BC" w14:textId="77777777" w:rsidR="00E4682E" w:rsidRPr="00DF2638" w:rsidRDefault="00E4682E" w:rsidP="00E4682E">
      <w:pPr>
        <w:autoSpaceDN w:val="0"/>
        <w:jc w:val="both"/>
        <w:textAlignment w:val="baseline"/>
        <w:rPr>
          <w:rFonts w:cs="Arial"/>
          <w:bCs/>
          <w:lang w:val="es-ES_tradnl" w:eastAsia="es-CO"/>
        </w:rPr>
      </w:pPr>
      <w:r w:rsidRPr="00DF2638">
        <w:rPr>
          <w:rFonts w:cs="Arial"/>
          <w:bCs/>
          <w:lang w:val="es-ES_tradnl" w:eastAsia="es-CO"/>
        </w:rPr>
        <w:lastRenderedPageBreak/>
        <w:t>PARÁGRAFO. Las cooperativas y demás entidades de economía solidaria, siempre que tengan la calidad de Mípyme, podrán solicitar y participar en las convocatorias limitadas en las mismas condiciones dispuestas en el presente artículo”.</w:t>
      </w:r>
    </w:p>
    <w:p w14:paraId="16CD24CA" w14:textId="77777777" w:rsidR="00E4682E" w:rsidRPr="00DF2638" w:rsidRDefault="00E4682E" w:rsidP="00E4682E">
      <w:pPr>
        <w:autoSpaceDN w:val="0"/>
        <w:jc w:val="both"/>
        <w:textAlignment w:val="baseline"/>
        <w:rPr>
          <w:rFonts w:cs="Arial"/>
          <w:bCs/>
          <w:lang w:val="es-ES_tradnl" w:eastAsia="es-CO"/>
        </w:rPr>
      </w:pPr>
    </w:p>
    <w:p w14:paraId="62A914A4" w14:textId="57091E77" w:rsidR="00E4682E" w:rsidRPr="00DF2638" w:rsidRDefault="00E4682E" w:rsidP="00E4682E">
      <w:pPr>
        <w:autoSpaceDN w:val="0"/>
        <w:jc w:val="both"/>
        <w:textAlignment w:val="baseline"/>
        <w:rPr>
          <w:rFonts w:cs="Arial"/>
          <w:bCs/>
          <w:lang w:val="es-ES_tradnl" w:eastAsia="es-CO"/>
        </w:rPr>
      </w:pPr>
      <w:r w:rsidRPr="00DF2638">
        <w:rPr>
          <w:rFonts w:cs="Arial"/>
          <w:bCs/>
          <w:lang w:val="es-ES_tradnl" w:eastAsia="es-CO"/>
        </w:rPr>
        <w:t>En tal sentido, y atendiendo en valor estimado del presupuesto el presente proceso de selección, el mismo podrá ser limitado a Mipymes.</w:t>
      </w:r>
    </w:p>
    <w:p w14:paraId="676C4BBF" w14:textId="77777777" w:rsidR="00E4682E" w:rsidRPr="00DF2638" w:rsidRDefault="00E4682E" w:rsidP="00E4682E">
      <w:pPr>
        <w:jc w:val="both"/>
        <w:rPr>
          <w:rFonts w:cs="Arial"/>
          <w:bCs/>
          <w:lang w:val="es-ES_tradnl" w:eastAsia="es-CO"/>
        </w:rPr>
      </w:pPr>
    </w:p>
    <w:p w14:paraId="40A2BE72" w14:textId="77777777" w:rsidR="00E4682E" w:rsidRPr="00DF2638" w:rsidRDefault="00E4682E" w:rsidP="00E4682E">
      <w:pPr>
        <w:pStyle w:val="Prrafodelista"/>
        <w:numPr>
          <w:ilvl w:val="0"/>
          <w:numId w:val="2"/>
        </w:numPr>
        <w:autoSpaceDN w:val="0"/>
        <w:contextualSpacing w:val="0"/>
        <w:textAlignment w:val="baseline"/>
        <w:rPr>
          <w:rFonts w:ascii="Verdana" w:hAnsi="Verdana" w:cs="Arial"/>
          <w:b/>
          <w:i w:val="0"/>
          <w:sz w:val="22"/>
          <w:szCs w:val="22"/>
          <w:lang w:val="es-ES_tradnl" w:eastAsia="es-CO"/>
        </w:rPr>
      </w:pPr>
      <w:r w:rsidRPr="00DF2638">
        <w:rPr>
          <w:rFonts w:ascii="Verdana" w:hAnsi="Verdana" w:cs="Arial"/>
          <w:b/>
          <w:i w:val="0"/>
          <w:sz w:val="22"/>
          <w:szCs w:val="22"/>
          <w:lang w:val="es-ES_tradnl" w:eastAsia="es-CO"/>
        </w:rPr>
        <w:t>Cronograma del proceso</w:t>
      </w:r>
    </w:p>
    <w:p w14:paraId="3E70F002" w14:textId="77777777" w:rsidR="00E4682E" w:rsidRPr="00DF2638" w:rsidRDefault="00E4682E" w:rsidP="00E4682E">
      <w:pPr>
        <w:jc w:val="both"/>
        <w:rPr>
          <w:rFonts w:cs="Arial"/>
          <w:bCs/>
          <w:lang w:val="es-ES_tradnl" w:eastAsia="es-CO"/>
        </w:rPr>
      </w:pPr>
    </w:p>
    <w:p w14:paraId="0DB45957" w14:textId="77777777" w:rsidR="00E4682E" w:rsidRPr="00DF2638" w:rsidRDefault="00E4682E" w:rsidP="00E4682E">
      <w:pPr>
        <w:jc w:val="both"/>
        <w:rPr>
          <w:rFonts w:cs="Arial"/>
          <w:bCs/>
          <w:lang w:val="es-ES_tradnl" w:eastAsia="es-CO"/>
        </w:rPr>
      </w:pPr>
      <w:r w:rsidRPr="00DF2638">
        <w:rPr>
          <w:rFonts w:cs="Arial"/>
          <w:bCs/>
          <w:lang w:val="es-ES_tradnl" w:eastAsia="es-CO"/>
        </w:rPr>
        <w:t>El cronograma del proceso se podrá visualizar directamente en la plataforma SECOP II.</w:t>
      </w:r>
    </w:p>
    <w:p w14:paraId="5AD42590" w14:textId="77777777" w:rsidR="00E4682E" w:rsidRPr="00DF2638" w:rsidRDefault="00E4682E" w:rsidP="00E4682E">
      <w:pPr>
        <w:jc w:val="both"/>
        <w:rPr>
          <w:rFonts w:cs="Arial"/>
          <w:bCs/>
          <w:lang w:val="es-ES_tradnl" w:eastAsia="es-CO"/>
        </w:rPr>
      </w:pPr>
    </w:p>
    <w:p w14:paraId="17B1DFAE" w14:textId="77777777" w:rsidR="00E4682E" w:rsidRPr="00DF2638" w:rsidRDefault="00E4682E" w:rsidP="00E4682E">
      <w:pPr>
        <w:jc w:val="both"/>
        <w:rPr>
          <w:rFonts w:cs="Arial"/>
          <w:bCs/>
          <w:lang w:val="es-ES_tradnl" w:eastAsia="es-CO"/>
        </w:rPr>
      </w:pPr>
      <w:r w:rsidRPr="00DF2638">
        <w:rPr>
          <w:rFonts w:cs="Arial"/>
          <w:bCs/>
          <w:lang w:val="es-ES_tradnl" w:eastAsia="es-CO"/>
        </w:rPr>
        <w:t>Nota: Las fechas y plazos indicados en la plataforma podrán variar de acuerdo con la ley y con las condiciones previstas en el Pliego de Condiciones.</w:t>
      </w:r>
    </w:p>
    <w:p w14:paraId="1DDECBF0" w14:textId="77777777" w:rsidR="00E4682E" w:rsidRPr="00DF2638" w:rsidRDefault="00E4682E" w:rsidP="00E4682E">
      <w:pPr>
        <w:jc w:val="both"/>
        <w:rPr>
          <w:rFonts w:cs="Arial"/>
          <w:bCs/>
          <w:lang w:val="es-ES_tradnl" w:eastAsia="es-CO"/>
        </w:rPr>
      </w:pPr>
    </w:p>
    <w:p w14:paraId="074272BC" w14:textId="77777777" w:rsidR="00E4682E" w:rsidRPr="00DF2638" w:rsidRDefault="00E4682E" w:rsidP="00E4682E">
      <w:pPr>
        <w:pStyle w:val="Prrafodelista"/>
        <w:numPr>
          <w:ilvl w:val="0"/>
          <w:numId w:val="2"/>
        </w:numPr>
        <w:autoSpaceDN w:val="0"/>
        <w:contextualSpacing w:val="0"/>
        <w:textAlignment w:val="baseline"/>
        <w:rPr>
          <w:rFonts w:ascii="Verdana" w:hAnsi="Verdana" w:cs="Arial"/>
          <w:b/>
          <w:i w:val="0"/>
          <w:sz w:val="22"/>
          <w:szCs w:val="22"/>
          <w:lang w:val="es-ES_tradnl" w:eastAsia="es-CO"/>
        </w:rPr>
      </w:pPr>
      <w:r w:rsidRPr="00DF2638">
        <w:rPr>
          <w:rFonts w:ascii="Verdana" w:hAnsi="Verdana" w:cs="Arial"/>
          <w:b/>
          <w:i w:val="0"/>
          <w:sz w:val="22"/>
          <w:szCs w:val="22"/>
          <w:lang w:val="es-ES_tradnl" w:eastAsia="es-CO"/>
        </w:rPr>
        <w:t>Consulta de los Documentos del Proceso</w:t>
      </w:r>
    </w:p>
    <w:p w14:paraId="1B3840C9" w14:textId="77777777" w:rsidR="00E4682E" w:rsidRPr="00DF2638" w:rsidRDefault="00E4682E" w:rsidP="00E4682E">
      <w:pPr>
        <w:jc w:val="both"/>
        <w:rPr>
          <w:rFonts w:cs="Arial"/>
          <w:bCs/>
          <w:lang w:val="es-ES_tradnl" w:eastAsia="es-CO"/>
        </w:rPr>
      </w:pPr>
    </w:p>
    <w:p w14:paraId="581A121F" w14:textId="77777777" w:rsidR="00E4682E" w:rsidRPr="00DF2638" w:rsidRDefault="00E4682E" w:rsidP="00E4682E">
      <w:pPr>
        <w:jc w:val="both"/>
        <w:rPr>
          <w:rFonts w:cs="Arial"/>
          <w:bCs/>
          <w:lang w:val="es-ES_tradnl" w:eastAsia="es-CO"/>
        </w:rPr>
      </w:pPr>
      <w:r w:rsidRPr="00DF2638">
        <w:rPr>
          <w:rFonts w:cs="Arial"/>
          <w:bCs/>
          <w:lang w:val="es-ES_tradnl" w:eastAsia="es-CO"/>
        </w:rPr>
        <w:t>Los interesados pueden consultar los Documentos del Proceso en el Sistema Electrónico de Contratación Pública SECOP II, www.colombiacompra.gov.co.</w:t>
      </w:r>
    </w:p>
    <w:p w14:paraId="7B360474" w14:textId="77777777" w:rsidR="00E4682E" w:rsidRPr="00DF2638" w:rsidRDefault="00E4682E" w:rsidP="00E4682E">
      <w:pPr>
        <w:jc w:val="both"/>
        <w:rPr>
          <w:rFonts w:cs="Arial"/>
          <w:bCs/>
          <w:lang w:val="es-ES_tradnl" w:eastAsia="es-CO"/>
        </w:rPr>
      </w:pPr>
    </w:p>
    <w:p w14:paraId="6255C422" w14:textId="77777777" w:rsidR="00E4682E" w:rsidRPr="00DF2638" w:rsidRDefault="00E4682E" w:rsidP="00E4682E">
      <w:pPr>
        <w:pStyle w:val="Prrafodelista"/>
        <w:numPr>
          <w:ilvl w:val="0"/>
          <w:numId w:val="2"/>
        </w:numPr>
        <w:autoSpaceDN w:val="0"/>
        <w:contextualSpacing w:val="0"/>
        <w:textAlignment w:val="baseline"/>
        <w:rPr>
          <w:rFonts w:ascii="Verdana" w:hAnsi="Verdana" w:cs="Arial"/>
          <w:b/>
          <w:i w:val="0"/>
          <w:sz w:val="22"/>
          <w:szCs w:val="22"/>
          <w:lang w:val="es-ES_tradnl" w:eastAsia="es-CO"/>
        </w:rPr>
      </w:pPr>
      <w:r w:rsidRPr="00DF2638">
        <w:rPr>
          <w:rFonts w:ascii="Verdana" w:hAnsi="Verdana" w:cs="Arial"/>
          <w:b/>
          <w:i w:val="0"/>
          <w:sz w:val="22"/>
          <w:szCs w:val="22"/>
          <w:lang w:val="es-ES_tradnl" w:eastAsia="es-CO"/>
        </w:rPr>
        <w:t>Veedurías ciudadanas</w:t>
      </w:r>
    </w:p>
    <w:p w14:paraId="0F523F12" w14:textId="77777777" w:rsidR="00E4682E" w:rsidRPr="00DF2638" w:rsidRDefault="00E4682E" w:rsidP="00E4682E">
      <w:pPr>
        <w:jc w:val="both"/>
        <w:rPr>
          <w:rFonts w:cs="Arial"/>
          <w:bCs/>
          <w:lang w:val="es-ES_tradnl" w:eastAsia="es-CO"/>
        </w:rPr>
      </w:pPr>
    </w:p>
    <w:p w14:paraId="614A4C89" w14:textId="77777777" w:rsidR="00E4682E" w:rsidRPr="00DF2638" w:rsidRDefault="00E4682E" w:rsidP="00E4682E">
      <w:pPr>
        <w:jc w:val="both"/>
        <w:rPr>
          <w:rFonts w:cs="Arial"/>
          <w:bCs/>
          <w:lang w:val="es-ES_tradnl" w:eastAsia="es-CO"/>
        </w:rPr>
      </w:pPr>
      <w:r w:rsidRPr="00DF2638">
        <w:rPr>
          <w:rFonts w:cs="Arial"/>
          <w:bCs/>
          <w:lang w:val="es-ES_tradnl" w:eastAsia="es-CO"/>
        </w:rPr>
        <w:t>Las veedurías ciudadanas establecidas de conformidad con la Ley podrán desarrollar su actividad durante la etapa precontractual, contractual y post contractual del presente proceso de contratación, formulando recomendaciones escritas y oportunas ante esta Entidad y a los organismos de control del Estado, para buscar la eficiencia institucional y la probidad en la actuación de los funcionarios públicos.</w:t>
      </w:r>
    </w:p>
    <w:p w14:paraId="7A670A0B" w14:textId="77777777" w:rsidR="00E4682E" w:rsidRPr="00DF2638" w:rsidRDefault="00E4682E" w:rsidP="00E4682E">
      <w:pPr>
        <w:jc w:val="both"/>
        <w:rPr>
          <w:rFonts w:cs="Arial"/>
          <w:bCs/>
          <w:lang w:val="es-ES_tradnl" w:eastAsia="es-CO"/>
        </w:rPr>
      </w:pPr>
    </w:p>
    <w:p w14:paraId="5DF945E0" w14:textId="77777777" w:rsidR="00E4682E" w:rsidRPr="00DF2638" w:rsidRDefault="00E4682E" w:rsidP="00E4682E">
      <w:pPr>
        <w:jc w:val="both"/>
        <w:rPr>
          <w:rFonts w:cs="Arial"/>
          <w:bCs/>
          <w:lang w:val="es-ES_tradnl" w:eastAsia="es-CO"/>
        </w:rPr>
      </w:pPr>
      <w:r w:rsidRPr="00DF2638">
        <w:rPr>
          <w:rFonts w:cs="Arial"/>
          <w:bCs/>
          <w:lang w:val="es-ES_tradnl" w:eastAsia="es-CO"/>
        </w:rPr>
        <w:t>Así mismo, podrán intervenir en todas las audiencias que se realicen durante el proceso, caso en el cual se les suministrará toda la información y documentación pertinente que no esté publicada en el SECOP, siempre que no sea objeto de reserva legal.</w:t>
      </w:r>
    </w:p>
    <w:p w14:paraId="3EFA8235" w14:textId="77777777" w:rsidR="00E4682E" w:rsidRPr="00DF2638" w:rsidRDefault="00E4682E" w:rsidP="00E4682E">
      <w:pPr>
        <w:jc w:val="both"/>
        <w:rPr>
          <w:rFonts w:cs="Arial"/>
          <w:bCs/>
          <w:lang w:val="es-ES_tradnl" w:eastAsia="es-CO"/>
        </w:rPr>
      </w:pPr>
    </w:p>
    <w:p w14:paraId="2B62114F" w14:textId="77777777" w:rsidR="00E4682E" w:rsidRPr="00DF2638" w:rsidRDefault="00E4682E" w:rsidP="00E4682E">
      <w:pPr>
        <w:jc w:val="both"/>
        <w:rPr>
          <w:rFonts w:cs="Arial"/>
          <w:bCs/>
          <w:lang w:val="es-ES_tradnl" w:eastAsia="es-CO"/>
        </w:rPr>
      </w:pPr>
      <w:r w:rsidRPr="00DF2638">
        <w:rPr>
          <w:rFonts w:cs="Arial"/>
          <w:bCs/>
          <w:lang w:val="es-ES_tradnl" w:eastAsia="es-CO"/>
        </w:rPr>
        <w:t>Las copias y la atención de las peticiones presentadas se expedirán y resolverán según las reglas previstas en el Código de procedimiento administrativo y de lo contencioso administrativo.</w:t>
      </w:r>
    </w:p>
    <w:p w14:paraId="6C3EC64F" w14:textId="77777777" w:rsidR="00E4682E" w:rsidRPr="00DF2638" w:rsidRDefault="00E4682E" w:rsidP="00E4682E">
      <w:pPr>
        <w:jc w:val="both"/>
        <w:rPr>
          <w:rFonts w:cs="Arial"/>
          <w:bCs/>
          <w:lang w:val="es-ES_tradnl" w:eastAsia="es-CO"/>
        </w:rPr>
      </w:pPr>
    </w:p>
    <w:p w14:paraId="3F4AB0E5" w14:textId="77777777" w:rsidR="00E4682E" w:rsidRPr="00DF2638" w:rsidRDefault="00E4682E" w:rsidP="00E4682E">
      <w:pPr>
        <w:jc w:val="both"/>
        <w:rPr>
          <w:rFonts w:cs="Arial"/>
          <w:bCs/>
          <w:lang w:val="es-ES_tradnl" w:eastAsia="es-CO"/>
        </w:rPr>
      </w:pPr>
      <w:r w:rsidRPr="00DF2638">
        <w:rPr>
          <w:rFonts w:cs="Arial"/>
          <w:bCs/>
          <w:lang w:val="es-ES_tradnl" w:eastAsia="es-CO"/>
        </w:rPr>
        <w:t xml:space="preserve">En desarrollo de inciso 3 del artículo 66 de la Ley 80 de 1993, se convoca a las veedurías ciudadanas que se encuentren conformadas de acuerdo con la ley, para que realicen el </w:t>
      </w:r>
      <w:r w:rsidRPr="00DF2638">
        <w:rPr>
          <w:rFonts w:cs="Arial"/>
          <w:bCs/>
          <w:lang w:val="es-ES_tradnl" w:eastAsia="es-CO"/>
        </w:rPr>
        <w:lastRenderedPageBreak/>
        <w:t>control social al presente Proceso de Contratación, al contrato que se derive del mismo, a su ejecución, terminación y liquidación.</w:t>
      </w:r>
    </w:p>
    <w:p w14:paraId="2F71261F" w14:textId="77777777" w:rsidR="00E4682E" w:rsidRPr="00DF2638" w:rsidRDefault="00E4682E" w:rsidP="00E4682E">
      <w:pPr>
        <w:jc w:val="both"/>
        <w:rPr>
          <w:rFonts w:cs="Arial"/>
          <w:bCs/>
          <w:lang w:val="es-ES_tradnl" w:eastAsia="es-CO"/>
        </w:rPr>
      </w:pPr>
    </w:p>
    <w:p w14:paraId="22D04071" w14:textId="5A7724EE" w:rsidR="00E4682E" w:rsidRPr="00DF2638" w:rsidRDefault="00E4682E" w:rsidP="00E4682E">
      <w:pPr>
        <w:jc w:val="both"/>
        <w:rPr>
          <w:rFonts w:cs="Arial"/>
          <w:bCs/>
          <w:lang w:val="es-ES_tradnl"/>
        </w:rPr>
      </w:pPr>
      <w:bookmarkStart w:id="1" w:name="_Toc377655199"/>
      <w:r w:rsidRPr="00DF2638">
        <w:rPr>
          <w:rFonts w:cs="Arial"/>
          <w:bCs/>
          <w:lang w:val="es-ES_tradnl"/>
        </w:rPr>
        <w:t xml:space="preserve">En constancia de lo anterior se firma en </w:t>
      </w:r>
      <w:proofErr w:type="spellStart"/>
      <w:r w:rsidR="00FF70BE">
        <w:rPr>
          <w:rFonts w:cs="Arial"/>
          <w:bCs/>
          <w:lang w:val="es-ES_tradnl"/>
        </w:rPr>
        <w:t>xxxxx</w:t>
      </w:r>
      <w:proofErr w:type="spellEnd"/>
      <w:r w:rsidR="00FF70BE">
        <w:rPr>
          <w:rFonts w:cs="Arial"/>
          <w:bCs/>
          <w:lang w:val="es-ES_tradnl"/>
        </w:rPr>
        <w:t xml:space="preserve"> </w:t>
      </w:r>
      <w:proofErr w:type="spellStart"/>
      <w:r w:rsidR="00FF70BE">
        <w:rPr>
          <w:rFonts w:cs="Arial"/>
          <w:bCs/>
          <w:lang w:val="es-ES_tradnl"/>
        </w:rPr>
        <w:t>xxxx</w:t>
      </w:r>
      <w:proofErr w:type="spellEnd"/>
      <w:r w:rsidRPr="00DF2638">
        <w:rPr>
          <w:rFonts w:cs="Arial"/>
          <w:bCs/>
          <w:lang w:val="es-ES_tradnl"/>
        </w:rPr>
        <w:t xml:space="preserve">, </w:t>
      </w:r>
      <w:r w:rsidR="0029555F">
        <w:rPr>
          <w:rFonts w:cs="Arial"/>
          <w:bCs/>
          <w:lang w:val="es-ES_tradnl"/>
        </w:rPr>
        <w:t>el (</w:t>
      </w:r>
      <w:r w:rsidRPr="00DF2638">
        <w:rPr>
          <w:rFonts w:cs="Arial"/>
          <w:bCs/>
          <w:lang w:val="es-ES_tradnl"/>
        </w:rPr>
        <w:t>a los</w:t>
      </w:r>
      <w:r w:rsidR="0029555F">
        <w:rPr>
          <w:rFonts w:cs="Arial"/>
          <w:bCs/>
          <w:lang w:val="es-ES_tradnl"/>
        </w:rPr>
        <w:t>)</w:t>
      </w:r>
      <w:r w:rsidRPr="00DF2638">
        <w:rPr>
          <w:rFonts w:cs="Arial"/>
          <w:bCs/>
          <w:lang w:val="es-ES_tradnl"/>
        </w:rPr>
        <w:t xml:space="preserve"> </w:t>
      </w:r>
      <w:r w:rsidR="00DF2638" w:rsidRPr="00DF2638">
        <w:rPr>
          <w:rFonts w:cs="Arial"/>
          <w:bCs/>
          <w:highlight w:val="yellow"/>
          <w:lang w:val="es-ES_tradnl"/>
        </w:rPr>
        <w:t xml:space="preserve">XXXX </w:t>
      </w:r>
      <w:r w:rsidRPr="00DF2638">
        <w:rPr>
          <w:rFonts w:cs="Arial"/>
          <w:bCs/>
          <w:highlight w:val="yellow"/>
          <w:lang w:val="es-ES_tradnl"/>
        </w:rPr>
        <w:t>(</w:t>
      </w:r>
      <w:r w:rsidR="00DF2638" w:rsidRPr="00DF2638">
        <w:rPr>
          <w:rFonts w:cs="Arial"/>
          <w:bCs/>
          <w:highlight w:val="yellow"/>
          <w:lang w:val="es-ES_tradnl"/>
        </w:rPr>
        <w:t>XXX</w:t>
      </w:r>
      <w:r w:rsidRPr="00DF2638">
        <w:rPr>
          <w:rFonts w:cs="Arial"/>
          <w:bCs/>
          <w:highlight w:val="yellow"/>
          <w:lang w:val="es-ES_tradnl"/>
        </w:rPr>
        <w:t>)</w:t>
      </w:r>
      <w:r w:rsidRPr="00DF2638">
        <w:rPr>
          <w:rFonts w:cs="Arial"/>
          <w:bCs/>
          <w:lang w:val="es-ES_tradnl"/>
        </w:rPr>
        <w:t xml:space="preserve"> día</w:t>
      </w:r>
      <w:r w:rsidR="0029555F">
        <w:rPr>
          <w:rFonts w:cs="Arial"/>
          <w:bCs/>
          <w:lang w:val="es-ES_tradnl"/>
        </w:rPr>
        <w:t xml:space="preserve"> (</w:t>
      </w:r>
      <w:r w:rsidRPr="00DF2638">
        <w:rPr>
          <w:rFonts w:cs="Arial"/>
          <w:bCs/>
          <w:lang w:val="es-ES_tradnl"/>
        </w:rPr>
        <w:t>s</w:t>
      </w:r>
      <w:r w:rsidR="0029555F">
        <w:rPr>
          <w:rFonts w:cs="Arial"/>
          <w:bCs/>
          <w:lang w:val="es-ES_tradnl"/>
        </w:rPr>
        <w:t>)</w:t>
      </w:r>
      <w:r w:rsidRPr="00DF2638">
        <w:rPr>
          <w:rFonts w:cs="Arial"/>
          <w:bCs/>
          <w:lang w:val="es-ES_tradnl"/>
        </w:rPr>
        <w:t xml:space="preserve"> de XXXX de dos mil </w:t>
      </w:r>
      <w:proofErr w:type="spellStart"/>
      <w:r w:rsidRPr="00DF2638">
        <w:rPr>
          <w:rFonts w:cs="Arial"/>
          <w:bCs/>
          <w:lang w:val="es-ES_tradnl"/>
        </w:rPr>
        <w:t>veinti</w:t>
      </w:r>
      <w:r w:rsidR="00DF2638" w:rsidRPr="00DF2638">
        <w:rPr>
          <w:rFonts w:cs="Arial"/>
          <w:bCs/>
          <w:lang w:val="es-ES_tradnl"/>
        </w:rPr>
        <w:t>XXX</w:t>
      </w:r>
      <w:proofErr w:type="spellEnd"/>
      <w:r w:rsidRPr="00DF2638">
        <w:rPr>
          <w:rFonts w:cs="Arial"/>
          <w:bCs/>
          <w:lang w:val="es-ES_tradnl"/>
        </w:rPr>
        <w:t xml:space="preserve"> (20</w:t>
      </w:r>
      <w:r w:rsidR="00DF2638" w:rsidRPr="00DF2638">
        <w:rPr>
          <w:rFonts w:cs="Arial"/>
          <w:bCs/>
          <w:lang w:val="es-ES_tradnl"/>
        </w:rPr>
        <w:t>XX</w:t>
      </w:r>
      <w:r w:rsidRPr="00DF2638">
        <w:rPr>
          <w:rFonts w:cs="Arial"/>
          <w:bCs/>
          <w:lang w:val="es-ES_tradnl"/>
        </w:rPr>
        <w:t>).</w:t>
      </w:r>
    </w:p>
    <w:p w14:paraId="2A44E5FA" w14:textId="77777777" w:rsidR="00E4682E" w:rsidRPr="00DF2638" w:rsidRDefault="00E4682E" w:rsidP="00E4682E">
      <w:pPr>
        <w:rPr>
          <w:rFonts w:cs="Arial"/>
          <w:bCs/>
          <w:lang w:val="es-ES_tradnl"/>
        </w:rPr>
      </w:pPr>
    </w:p>
    <w:p w14:paraId="303760C4" w14:textId="77777777" w:rsidR="00E4682E" w:rsidRPr="00DF2638" w:rsidRDefault="00E4682E" w:rsidP="00E4682E">
      <w:pPr>
        <w:rPr>
          <w:rFonts w:cs="Arial"/>
          <w:bCs/>
          <w:lang w:val="es-ES_tradnl"/>
        </w:rPr>
      </w:pPr>
    </w:p>
    <w:p w14:paraId="57881AD7" w14:textId="77777777" w:rsidR="00E4682E" w:rsidRPr="00DF2638" w:rsidRDefault="00E4682E" w:rsidP="00E4682E">
      <w:pPr>
        <w:jc w:val="center"/>
        <w:rPr>
          <w:rFonts w:cs="Arial"/>
          <w:bCs/>
          <w:lang w:val="es-ES_tradnl"/>
        </w:rPr>
      </w:pPr>
    </w:p>
    <w:bookmarkEnd w:id="1"/>
    <w:p w14:paraId="1B7A8991" w14:textId="77777777" w:rsidR="00E4682E" w:rsidRPr="00DF2638" w:rsidRDefault="00E4682E" w:rsidP="00E4682E">
      <w:pPr>
        <w:contextualSpacing/>
        <w:jc w:val="both"/>
        <w:rPr>
          <w:rFonts w:cs="Arial"/>
          <w:bCs/>
          <w:lang w:val="es-ES_tradnl"/>
        </w:rPr>
      </w:pPr>
    </w:p>
    <w:p w14:paraId="46FC42E3" w14:textId="50F9F009" w:rsidR="00E4682E" w:rsidRPr="00DF2638" w:rsidRDefault="00DF2638" w:rsidP="00E4682E">
      <w:pPr>
        <w:ind w:left="-720"/>
        <w:contextualSpacing/>
        <w:jc w:val="center"/>
        <w:rPr>
          <w:rFonts w:cs="Arial"/>
          <w:bCs/>
        </w:rPr>
      </w:pPr>
      <w:r w:rsidRPr="00DF2638">
        <w:rPr>
          <w:rFonts w:cs="Arial"/>
          <w:bCs/>
        </w:rPr>
        <w:t>XXXXXXXXXXXXXXXXXXXX</w:t>
      </w:r>
    </w:p>
    <w:p w14:paraId="26785E89" w14:textId="149AFD64" w:rsidR="00E4682E" w:rsidRPr="00DF2638" w:rsidRDefault="00E4682E" w:rsidP="00DF2638">
      <w:pPr>
        <w:ind w:left="-720"/>
        <w:contextualSpacing/>
        <w:jc w:val="center"/>
        <w:rPr>
          <w:rFonts w:cs="Arial"/>
          <w:bCs/>
        </w:rPr>
      </w:pPr>
      <w:r w:rsidRPr="00DF2638">
        <w:rPr>
          <w:rFonts w:cs="Arial"/>
          <w:bCs/>
        </w:rPr>
        <w:t xml:space="preserve">Secretaria </w:t>
      </w:r>
      <w:r w:rsidR="00DF2638" w:rsidRPr="00DF2638">
        <w:rPr>
          <w:rFonts w:cs="Arial"/>
          <w:bCs/>
        </w:rPr>
        <w:t>General</w:t>
      </w:r>
    </w:p>
    <w:p w14:paraId="5EDFA9B2" w14:textId="77777777" w:rsidR="00E4682E" w:rsidRPr="00DF2638" w:rsidRDefault="00E4682E" w:rsidP="00E4682E">
      <w:pPr>
        <w:widowControl w:val="0"/>
        <w:shd w:val="clear" w:color="auto" w:fill="FFFFFF" w:themeFill="background1"/>
        <w:jc w:val="both"/>
        <w:rPr>
          <w:rFonts w:eastAsia="Arial Unicode MS" w:cs="Arial"/>
          <w:bCs/>
        </w:rPr>
      </w:pPr>
    </w:p>
    <w:p w14:paraId="6DAAB04A" w14:textId="77777777" w:rsidR="00E4682E" w:rsidRPr="00B079C9" w:rsidRDefault="00E4682E" w:rsidP="001A6BE2">
      <w:pPr>
        <w:rPr>
          <w:rFonts w:cstheme="minorHAnsi"/>
          <w:bCs/>
          <w:sz w:val="16"/>
          <w:szCs w:val="16"/>
        </w:rPr>
      </w:pPr>
    </w:p>
    <w:p w14:paraId="7393ADE5" w14:textId="5386924D" w:rsidR="001A6BE2" w:rsidRPr="00B079C9" w:rsidRDefault="001A6BE2" w:rsidP="001A6BE2">
      <w:pPr>
        <w:rPr>
          <w:rFonts w:cstheme="minorHAnsi"/>
          <w:bCs/>
          <w:sz w:val="16"/>
          <w:szCs w:val="16"/>
        </w:rPr>
      </w:pPr>
      <w:r w:rsidRPr="00B079C9">
        <w:rPr>
          <w:rFonts w:cstheme="minorHAnsi"/>
          <w:bCs/>
          <w:sz w:val="16"/>
          <w:szCs w:val="16"/>
        </w:rPr>
        <w:t>Proyectó:(nombre y apellidos completos)</w:t>
      </w:r>
    </w:p>
    <w:p w14:paraId="0383126C" w14:textId="38EA6CBD" w:rsidR="001A6BE2" w:rsidRPr="00B079C9" w:rsidRDefault="001A6BE2" w:rsidP="001A6BE2">
      <w:pPr>
        <w:rPr>
          <w:rFonts w:cstheme="minorHAnsi"/>
          <w:bCs/>
          <w:sz w:val="16"/>
          <w:szCs w:val="16"/>
        </w:rPr>
      </w:pPr>
      <w:r w:rsidRPr="00B079C9">
        <w:rPr>
          <w:rFonts w:cstheme="minorHAnsi"/>
          <w:bCs/>
          <w:sz w:val="16"/>
          <w:szCs w:val="16"/>
        </w:rPr>
        <w:t>Revisó:</w:t>
      </w:r>
      <w:r w:rsidRPr="00B079C9">
        <w:rPr>
          <w:rFonts w:cstheme="minorHAnsi"/>
          <w:bCs/>
          <w:sz w:val="16"/>
          <w:szCs w:val="16"/>
        </w:rPr>
        <w:tab/>
      </w:r>
      <w:r w:rsidR="00E12186" w:rsidRPr="00B079C9">
        <w:rPr>
          <w:rFonts w:cstheme="minorHAnsi"/>
          <w:bCs/>
          <w:sz w:val="16"/>
          <w:szCs w:val="16"/>
        </w:rPr>
        <w:t xml:space="preserve"> </w:t>
      </w:r>
      <w:r w:rsidRPr="00B079C9">
        <w:rPr>
          <w:rFonts w:cstheme="minorHAnsi"/>
          <w:bCs/>
          <w:sz w:val="16"/>
          <w:szCs w:val="16"/>
        </w:rPr>
        <w:t>(nombre y apellidos completos)</w:t>
      </w:r>
    </w:p>
    <w:p w14:paraId="56665FD2" w14:textId="145A601C" w:rsidR="001A6BE2" w:rsidRDefault="00E12186" w:rsidP="001A6BE2">
      <w:pPr>
        <w:ind w:firstLine="708"/>
        <w:rPr>
          <w:rFonts w:cstheme="minorHAnsi"/>
          <w:bCs/>
          <w:sz w:val="16"/>
          <w:szCs w:val="16"/>
        </w:rPr>
      </w:pPr>
      <w:r w:rsidRPr="00B079C9">
        <w:rPr>
          <w:rFonts w:cstheme="minorHAnsi"/>
          <w:bCs/>
          <w:sz w:val="16"/>
          <w:szCs w:val="16"/>
        </w:rPr>
        <w:t xml:space="preserve"> </w:t>
      </w:r>
      <w:r w:rsidR="001A6BE2" w:rsidRPr="00B079C9">
        <w:rPr>
          <w:rFonts w:cstheme="minorHAnsi"/>
          <w:bCs/>
          <w:sz w:val="16"/>
          <w:szCs w:val="16"/>
        </w:rPr>
        <w:t>(No debe existir ningún tipo de negrilla)</w:t>
      </w:r>
    </w:p>
    <w:p w14:paraId="3851CCD2" w14:textId="5EA9EC87" w:rsidR="00B079C9" w:rsidRPr="00B079C9" w:rsidRDefault="00B079C9" w:rsidP="00B079C9">
      <w:pPr>
        <w:rPr>
          <w:rFonts w:cstheme="minorHAnsi"/>
          <w:bCs/>
          <w:sz w:val="16"/>
          <w:szCs w:val="16"/>
        </w:rPr>
      </w:pPr>
      <w:r>
        <w:rPr>
          <w:rFonts w:cstheme="minorHAnsi"/>
          <w:bCs/>
          <w:sz w:val="16"/>
          <w:szCs w:val="16"/>
        </w:rPr>
        <w:t>Aprobó</w:t>
      </w:r>
      <w:r w:rsidRPr="00B079C9">
        <w:rPr>
          <w:rFonts w:cstheme="minorHAnsi"/>
          <w:bCs/>
          <w:sz w:val="16"/>
          <w:szCs w:val="16"/>
        </w:rPr>
        <w:t>:(nombre y apellidos completos)</w:t>
      </w:r>
    </w:p>
    <w:p w14:paraId="4BFBC80B" w14:textId="77777777" w:rsidR="001A072D" w:rsidRPr="00DF2638" w:rsidRDefault="001A072D" w:rsidP="001A072D">
      <w:pPr>
        <w:rPr>
          <w:bCs/>
        </w:rPr>
      </w:pPr>
    </w:p>
    <w:sectPr w:rsidR="001A072D" w:rsidRPr="00DF2638" w:rsidSect="000A60D4">
      <w:headerReference w:type="default" r:id="rId9"/>
      <w:footerReference w:type="default" r:id="rId10"/>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DF39" w14:textId="77777777" w:rsidR="00395654" w:rsidRDefault="00395654" w:rsidP="002D348D">
      <w:r>
        <w:separator/>
      </w:r>
    </w:p>
  </w:endnote>
  <w:endnote w:type="continuationSeparator" w:id="0">
    <w:p w14:paraId="58641529" w14:textId="77777777" w:rsidR="00395654" w:rsidRDefault="00395654"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3E0D98F0" w:rsidR="000A60D4" w:rsidRDefault="00A65C53">
    <w:pPr>
      <w:pStyle w:val="Piedepgina"/>
    </w:pPr>
    <w:r>
      <w:rPr>
        <w:i/>
        <w:iCs/>
        <w:noProof/>
        <w:lang w:val="es-ES"/>
      </w:rPr>
      <w:drawing>
        <wp:anchor distT="0" distB="0" distL="114300" distR="114300" simplePos="0" relativeHeight="251659264" behindDoc="1" locked="0" layoutInCell="1" allowOverlap="1" wp14:anchorId="1281AFFA" wp14:editId="38EC189D">
          <wp:simplePos x="0" y="0"/>
          <wp:positionH relativeFrom="page">
            <wp:align>right</wp:align>
          </wp:positionH>
          <wp:positionV relativeFrom="paragraph">
            <wp:posOffset>184785</wp:posOffset>
          </wp:positionV>
          <wp:extent cx="7799603" cy="803082"/>
          <wp:effectExtent l="0" t="0" r="0" b="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p w14:paraId="3D3A3207" w14:textId="06030CC5"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F370" w14:textId="77777777" w:rsidR="00395654" w:rsidRDefault="00395654" w:rsidP="002D348D">
      <w:r>
        <w:separator/>
      </w:r>
    </w:p>
  </w:footnote>
  <w:footnote w:type="continuationSeparator" w:id="0">
    <w:p w14:paraId="060E7159" w14:textId="77777777" w:rsidR="00395654" w:rsidRDefault="00395654"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E4682E" w:rsidRPr="00D90F17" w14:paraId="47F5B499" w14:textId="77777777" w:rsidTr="00D74564">
      <w:trPr>
        <w:trHeight w:val="309"/>
      </w:trPr>
      <w:tc>
        <w:tcPr>
          <w:tcW w:w="5000" w:type="pct"/>
          <w:gridSpan w:val="4"/>
          <w:tcBorders>
            <w:left w:val="nil"/>
            <w:bottom w:val="single" w:sz="4" w:space="0" w:color="auto"/>
          </w:tcBorders>
          <w:shd w:val="clear" w:color="auto" w:fill="auto"/>
          <w:vAlign w:val="center"/>
        </w:tcPr>
        <w:p w14:paraId="7CEA6A1C" w14:textId="77777777" w:rsidR="00E4682E" w:rsidRDefault="00E4682E" w:rsidP="00E4682E">
          <w:pPr>
            <w:jc w:val="center"/>
            <w:rPr>
              <w:b/>
              <w:i/>
            </w:rPr>
          </w:pPr>
          <w:bookmarkStart w:id="2" w:name="_Hlk171516344"/>
          <w:r w:rsidRPr="00937D7D">
            <w:rPr>
              <w:noProof/>
            </w:rPr>
            <w:drawing>
              <wp:inline distT="0" distB="0" distL="0" distR="0" wp14:anchorId="134989F5" wp14:editId="073E461D">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E4682E" w:rsidRPr="00D90F17" w14:paraId="7A6309A9" w14:textId="77777777" w:rsidTr="00D74564">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1E384F" w14:textId="794B1739" w:rsidR="00DF2638" w:rsidRPr="00DF2638" w:rsidRDefault="00E4682E" w:rsidP="00DF2638">
          <w:pPr>
            <w:jc w:val="center"/>
            <w:rPr>
              <w:rFonts w:cstheme="minorHAnsi"/>
              <w:b/>
              <w:iCs/>
            </w:rPr>
          </w:pPr>
          <w:r w:rsidRPr="00E4682E">
            <w:rPr>
              <w:rFonts w:cstheme="minorHAnsi"/>
              <w:b/>
              <w:iCs/>
            </w:rPr>
            <w:t xml:space="preserve">FORMATO AVISO DE LA CONVOCATORIA </w:t>
          </w:r>
        </w:p>
      </w:tc>
    </w:tr>
    <w:tr w:rsidR="00E4682E" w:rsidRPr="00D90F17" w14:paraId="4C01C935" w14:textId="77777777" w:rsidTr="00D74564">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685DD" w14:textId="77777777" w:rsidR="00E4682E" w:rsidRPr="00E04E63" w:rsidRDefault="00E4682E" w:rsidP="00E4682E">
          <w:pPr>
            <w:jc w:val="center"/>
            <w:rPr>
              <w:b/>
              <w:bCs/>
              <w:iCs/>
              <w:lang w:eastAsia="es-CO"/>
            </w:rPr>
          </w:pPr>
          <w:r w:rsidRPr="00E04E6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11FA57AA" w14:textId="77777777" w:rsidR="00E4682E" w:rsidRPr="00E04E63" w:rsidRDefault="00E4682E" w:rsidP="00E4682E">
          <w:pPr>
            <w:jc w:val="center"/>
            <w:rPr>
              <w:iCs/>
              <w:lang w:eastAsia="es-CO"/>
            </w:rPr>
          </w:pPr>
          <w:r w:rsidRPr="00E04E63">
            <w:rPr>
              <w:iCs/>
              <w:lang w:eastAsia="es-CO"/>
            </w:rPr>
            <w:t xml:space="preserve">GESTIÓN </w:t>
          </w:r>
          <w:r w:rsidRPr="00E04E63">
            <w:rPr>
              <w:rFonts w:eastAsia="Times New Roman" w:cs="Times New Roman"/>
              <w:iCs/>
              <w:lang w:eastAsia="es-CO"/>
            </w:rPr>
            <w:t>ADMINISTRATIVA</w:t>
          </w:r>
        </w:p>
      </w:tc>
    </w:tr>
    <w:tr w:rsidR="00E4682E" w:rsidRPr="00D90F17" w14:paraId="3AF9178F" w14:textId="77777777" w:rsidTr="00D74564">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B90D5C9" w14:textId="77777777" w:rsidR="00E4682E" w:rsidRPr="00E04E63" w:rsidRDefault="00E4682E" w:rsidP="00E4682E">
          <w:pPr>
            <w:jc w:val="center"/>
            <w:rPr>
              <w:b/>
              <w:bCs/>
              <w:iCs/>
              <w:lang w:eastAsia="es-CO"/>
            </w:rPr>
          </w:pPr>
          <w:r w:rsidRPr="00E04E6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7E66708F" w14:textId="77777777" w:rsidR="00E4682E" w:rsidRPr="00E04E63" w:rsidRDefault="00E4682E" w:rsidP="00E4682E">
          <w:pPr>
            <w:jc w:val="center"/>
            <w:rPr>
              <w:iCs/>
              <w:lang w:eastAsia="es-CO"/>
            </w:rPr>
          </w:pPr>
          <w:r w:rsidRPr="00E04E63">
            <w:rPr>
              <w:iCs/>
              <w:lang w:eastAsia="es-CO"/>
            </w:rPr>
            <w:t>MANUAL DE CONTRATACIÓN</w:t>
          </w:r>
        </w:p>
      </w:tc>
    </w:tr>
    <w:tr w:rsidR="00E4682E" w:rsidRPr="00D90F17" w14:paraId="72D526EC" w14:textId="77777777" w:rsidTr="00D74564">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99B4D" w14:textId="77777777" w:rsidR="00E4682E" w:rsidRPr="00E04E63" w:rsidRDefault="00E4682E" w:rsidP="00E4682E">
          <w:pPr>
            <w:jc w:val="center"/>
            <w:rPr>
              <w:b/>
              <w:bCs/>
              <w:iCs/>
              <w:lang w:eastAsia="es-CO"/>
            </w:rPr>
          </w:pPr>
          <w:r w:rsidRPr="00E04E6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68977DFC" w14:textId="77777777" w:rsidR="00E4682E" w:rsidRPr="00E04E63" w:rsidRDefault="00E4682E" w:rsidP="00E4682E">
          <w:pPr>
            <w:jc w:val="center"/>
            <w:rPr>
              <w:b/>
              <w:bCs/>
              <w:iCs/>
              <w:lang w:eastAsia="es-CO"/>
            </w:rPr>
          </w:pPr>
          <w:r w:rsidRPr="00E04E6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16C9226A" w14:textId="77777777" w:rsidR="00E4682E" w:rsidRPr="00E04E63" w:rsidRDefault="00E4682E" w:rsidP="00E4682E">
          <w:pPr>
            <w:jc w:val="center"/>
            <w:rPr>
              <w:b/>
              <w:bCs/>
              <w:iCs/>
              <w:lang w:eastAsia="es-CO"/>
            </w:rPr>
          </w:pPr>
          <w:r w:rsidRPr="00E04E6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3D39F0BC" w14:textId="77777777" w:rsidR="00E4682E" w:rsidRPr="00E04E63" w:rsidRDefault="00E4682E" w:rsidP="00E4682E">
          <w:pPr>
            <w:jc w:val="center"/>
            <w:rPr>
              <w:rFonts w:ascii="Montserrat" w:hAnsi="Montserrat"/>
              <w:b/>
              <w:bCs/>
              <w:iCs/>
              <w:lang w:eastAsia="es-CO"/>
            </w:rPr>
          </w:pPr>
          <w:r w:rsidRPr="00E04E63">
            <w:rPr>
              <w:b/>
              <w:bCs/>
              <w:iCs/>
              <w:lang w:eastAsia="es-CO"/>
            </w:rPr>
            <w:t>PÁGINA:</w:t>
          </w:r>
        </w:p>
      </w:tc>
    </w:tr>
    <w:tr w:rsidR="00E4682E" w:rsidRPr="00A5024B" w14:paraId="77C6737D" w14:textId="77777777" w:rsidTr="00D74564">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328A3" w14:textId="5F5F1EEF" w:rsidR="00E4682E" w:rsidRPr="00A5024B" w:rsidRDefault="0029555F" w:rsidP="00E4682E">
          <w:pPr>
            <w:jc w:val="center"/>
            <w:rPr>
              <w:iCs/>
              <w:lang w:eastAsia="es-CO"/>
            </w:rPr>
          </w:pPr>
          <w:r>
            <w:rPr>
              <w:iCs/>
              <w:lang w:eastAsia="es-CO"/>
            </w:rPr>
            <w:t>08/11/202</w:t>
          </w:r>
          <w:r w:rsidR="00A65C53">
            <w:rPr>
              <w:iCs/>
              <w:lang w:eastAsia="es-CO"/>
            </w:rPr>
            <w:t>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097AEDA1" w14:textId="17EF1461" w:rsidR="00E4682E" w:rsidRPr="00A5024B" w:rsidRDefault="00E4682E" w:rsidP="00E4682E">
          <w:pPr>
            <w:jc w:val="center"/>
            <w:rPr>
              <w:iCs/>
              <w:lang w:eastAsia="es-CO"/>
            </w:rPr>
          </w:pPr>
          <w:r w:rsidRPr="00A5024B">
            <w:rPr>
              <w:iCs/>
              <w:lang w:val="es-ES" w:eastAsia="es-CO"/>
            </w:rPr>
            <w:t>MAN01-FOR</w:t>
          </w:r>
          <w:r>
            <w:rPr>
              <w:iCs/>
              <w:lang w:val="es-ES" w:eastAsia="es-CO"/>
            </w:rPr>
            <w:t>25</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4BFAE911" w14:textId="4C076FD9" w:rsidR="00E4682E" w:rsidRPr="00A5024B" w:rsidRDefault="0029555F" w:rsidP="00E4682E">
          <w:pPr>
            <w:jc w:val="center"/>
            <w:rPr>
              <w:iCs/>
              <w:lang w:eastAsia="es-CO"/>
            </w:rPr>
          </w:pPr>
          <w:r>
            <w:rPr>
              <w:iCs/>
              <w:lang w:eastAsia="es-CO"/>
            </w:rPr>
            <w:t>03</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3CC1820" w14:textId="77777777" w:rsidR="00E4682E" w:rsidRPr="00A5024B" w:rsidRDefault="00E4682E" w:rsidP="00E4682E">
          <w:pPr>
            <w:jc w:val="center"/>
            <w:rPr>
              <w:rFonts w:ascii="Montserrat" w:hAnsi="Montserrat"/>
              <w:iCs/>
              <w:lang w:eastAsia="es-CO"/>
            </w:rPr>
          </w:pPr>
          <w:r w:rsidRPr="00A5024B">
            <w:rPr>
              <w:bCs/>
              <w:iCs/>
              <w:lang w:eastAsia="es-CO"/>
            </w:rPr>
            <w:fldChar w:fldCharType="begin"/>
          </w:r>
          <w:r w:rsidRPr="00A5024B">
            <w:rPr>
              <w:bCs/>
              <w:iCs/>
              <w:lang w:eastAsia="es-CO"/>
            </w:rPr>
            <w:instrText>PAGE  \* Arabic  \* MERGEFORMAT</w:instrText>
          </w:r>
          <w:r w:rsidRPr="00A5024B">
            <w:rPr>
              <w:bCs/>
              <w:iCs/>
              <w:lang w:eastAsia="es-CO"/>
            </w:rPr>
            <w:fldChar w:fldCharType="separate"/>
          </w:r>
          <w:r w:rsidRPr="00A5024B">
            <w:rPr>
              <w:bCs/>
              <w:iCs/>
              <w:noProof/>
              <w:lang w:val="es-ES" w:eastAsia="es-CO"/>
            </w:rPr>
            <w:t>2</w:t>
          </w:r>
          <w:r w:rsidRPr="00A5024B">
            <w:rPr>
              <w:bCs/>
              <w:iCs/>
              <w:lang w:eastAsia="es-CO"/>
            </w:rPr>
            <w:fldChar w:fldCharType="end"/>
          </w:r>
          <w:r w:rsidRPr="00A5024B">
            <w:rPr>
              <w:iCs/>
              <w:lang w:val="es-ES" w:eastAsia="es-CO"/>
            </w:rPr>
            <w:t xml:space="preserve"> de </w:t>
          </w:r>
          <w:r w:rsidRPr="00A5024B">
            <w:rPr>
              <w:bCs/>
              <w:iCs/>
              <w:lang w:eastAsia="es-CO"/>
            </w:rPr>
            <w:fldChar w:fldCharType="begin"/>
          </w:r>
          <w:r w:rsidRPr="00A5024B">
            <w:rPr>
              <w:bCs/>
              <w:iCs/>
              <w:lang w:eastAsia="es-CO"/>
            </w:rPr>
            <w:instrText>NUMPAGES  \* Arabic  \* MERGEFORMAT</w:instrText>
          </w:r>
          <w:r w:rsidRPr="00A5024B">
            <w:rPr>
              <w:bCs/>
              <w:iCs/>
              <w:lang w:eastAsia="es-CO"/>
            </w:rPr>
            <w:fldChar w:fldCharType="separate"/>
          </w:r>
          <w:r w:rsidRPr="00A5024B">
            <w:rPr>
              <w:bCs/>
              <w:iCs/>
              <w:noProof/>
              <w:lang w:val="es-ES" w:eastAsia="es-CO"/>
            </w:rPr>
            <w:t>2</w:t>
          </w:r>
          <w:r w:rsidRPr="00A5024B">
            <w:rPr>
              <w:bCs/>
              <w:iCs/>
              <w:lang w:eastAsia="es-CO"/>
            </w:rPr>
            <w:fldChar w:fldCharType="end"/>
          </w:r>
        </w:p>
      </w:tc>
    </w:tr>
    <w:bookmarkEnd w:id="2"/>
  </w:tbl>
  <w:p w14:paraId="60DF3C5D" w14:textId="77777777" w:rsidR="00E4682E" w:rsidRDefault="00E468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CE3"/>
    <w:multiLevelType w:val="hybridMultilevel"/>
    <w:tmpl w:val="2B9A0232"/>
    <w:lvl w:ilvl="0" w:tplc="7E620D3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2860DB"/>
    <w:multiLevelType w:val="hybridMultilevel"/>
    <w:tmpl w:val="AE7AF8CA"/>
    <w:lvl w:ilvl="0" w:tplc="279C14F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8170041"/>
    <w:multiLevelType w:val="hybridMultilevel"/>
    <w:tmpl w:val="DC6CD510"/>
    <w:lvl w:ilvl="0" w:tplc="1D5A5F6A">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6A6F6A12"/>
    <w:multiLevelType w:val="hybridMultilevel"/>
    <w:tmpl w:val="E82C6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99358EE"/>
    <w:multiLevelType w:val="hybridMultilevel"/>
    <w:tmpl w:val="B3D22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61305523">
    <w:abstractNumId w:val="1"/>
  </w:num>
  <w:num w:numId="2" w16cid:durableId="45107147">
    <w:abstractNumId w:val="0"/>
  </w:num>
  <w:num w:numId="3" w16cid:durableId="723911956">
    <w:abstractNumId w:val="2"/>
  </w:num>
  <w:num w:numId="4" w16cid:durableId="1697655166">
    <w:abstractNumId w:val="4"/>
  </w:num>
  <w:num w:numId="5" w16cid:durableId="1137139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26801"/>
    <w:rsid w:val="000656C4"/>
    <w:rsid w:val="000A60D4"/>
    <w:rsid w:val="000C3DDD"/>
    <w:rsid w:val="000D15DE"/>
    <w:rsid w:val="001405BA"/>
    <w:rsid w:val="001A072D"/>
    <w:rsid w:val="001A6BE2"/>
    <w:rsid w:val="001C7C69"/>
    <w:rsid w:val="001F77BF"/>
    <w:rsid w:val="00275750"/>
    <w:rsid w:val="0029555F"/>
    <w:rsid w:val="002D348D"/>
    <w:rsid w:val="00395654"/>
    <w:rsid w:val="003B10CB"/>
    <w:rsid w:val="003F76A0"/>
    <w:rsid w:val="005D2A7C"/>
    <w:rsid w:val="00626EF6"/>
    <w:rsid w:val="009065D1"/>
    <w:rsid w:val="00A21066"/>
    <w:rsid w:val="00A65C53"/>
    <w:rsid w:val="00A73144"/>
    <w:rsid w:val="00B079C9"/>
    <w:rsid w:val="00B87A1A"/>
    <w:rsid w:val="00C01C2D"/>
    <w:rsid w:val="00D23223"/>
    <w:rsid w:val="00D407B1"/>
    <w:rsid w:val="00DF2638"/>
    <w:rsid w:val="00E12186"/>
    <w:rsid w:val="00E146FF"/>
    <w:rsid w:val="00E455F1"/>
    <w:rsid w:val="00E4682E"/>
    <w:rsid w:val="00EC0DC4"/>
    <w:rsid w:val="00EE21B3"/>
    <w:rsid w:val="00FF70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rsid w:val="00E4682E"/>
    <w:pPr>
      <w:keepNext/>
      <w:suppressAutoHyphens/>
      <w:autoSpaceDN w:val="0"/>
      <w:textAlignment w:val="baseline"/>
      <w:outlineLvl w:val="0"/>
    </w:pPr>
    <w:rPr>
      <w:rFonts w:ascii="Times New Roman" w:eastAsia="Times New Roman" w:hAnsi="Times New Roman" w:cs="Times New Roman"/>
      <w:kern w:val="0"/>
      <w:sz w:val="24"/>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paragraph" w:styleId="Textoindependiente">
    <w:name w:val="Body Text"/>
    <w:basedOn w:val="Normal"/>
    <w:link w:val="TextoindependienteCar"/>
    <w:qFormat/>
    <w:rsid w:val="001A6BE2"/>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1A6BE2"/>
    <w:rPr>
      <w:rFonts w:ascii="Arial" w:eastAsia="Times New Roman" w:hAnsi="Arial" w:cs="Times New Roman"/>
      <w:kern w:val="0"/>
      <w:sz w:val="20"/>
      <w:szCs w:val="20"/>
      <w:lang w:val="es-ES_tradnl" w:eastAsia="ar-SA"/>
      <w14:ligatures w14:val="none"/>
    </w:rPr>
  </w:style>
  <w:style w:type="paragraph" w:styleId="Prrafodelista">
    <w:name w:val="List Paragraph"/>
    <w:aliases w:val="HOJA,Bolita,List Paragraph,Párrafo de lista4,BOLADEF,Párrafo de lista3,Párrafo de lista21,BOLA,Nivel 1 OS,Colorful List Accent 1,Colorful List - Accent 11,Bullet List,FooterText,numbered,List Paragraph1,Paragraphe de liste1,lp1,Foot,列出段"/>
    <w:basedOn w:val="Normal"/>
    <w:link w:val="PrrafodelistaCar"/>
    <w:uiPriority w:val="1"/>
    <w:qFormat/>
    <w:rsid w:val="001A6BE2"/>
    <w:pPr>
      <w:suppressAutoHyphens/>
      <w:ind w:left="720"/>
      <w:contextualSpacing/>
      <w:jc w:val="both"/>
    </w:pPr>
    <w:rPr>
      <w:rFonts w:ascii="Bookman Old Style" w:eastAsia="Times New Roman" w:hAnsi="Bookman Old Style" w:cs="Times New Roman"/>
      <w:i/>
      <w:kern w:val="0"/>
      <w:sz w:val="20"/>
      <w:szCs w:val="20"/>
      <w:lang w:eastAsia="ar-SA"/>
      <w14:ligatures w14:val="none"/>
    </w:rPr>
  </w:style>
  <w:style w:type="paragraph" w:customStyle="1" w:styleId="Default">
    <w:name w:val="Default"/>
    <w:link w:val="DefaultCar"/>
    <w:qFormat/>
    <w:rsid w:val="001A6BE2"/>
    <w:pPr>
      <w:widowControl w:val="0"/>
      <w:autoSpaceDE w:val="0"/>
      <w:autoSpaceDN w:val="0"/>
      <w:adjustRightInd w:val="0"/>
      <w:spacing w:after="0" w:line="240" w:lineRule="auto"/>
    </w:pPr>
    <w:rPr>
      <w:rFonts w:ascii="Arial" w:eastAsia="Times New Roman" w:hAnsi="Arial" w:cs="Times New Roman"/>
      <w:color w:val="000000"/>
      <w:kern w:val="0"/>
      <w:sz w:val="24"/>
      <w:szCs w:val="24"/>
      <w:lang w:val="es-ES" w:eastAsia="es-ES"/>
      <w14:ligatures w14:val="none"/>
    </w:rPr>
  </w:style>
  <w:style w:type="character" w:customStyle="1" w:styleId="DefaultCar">
    <w:name w:val="Default Car"/>
    <w:link w:val="Default"/>
    <w:locked/>
    <w:rsid w:val="001A6BE2"/>
    <w:rPr>
      <w:rFonts w:ascii="Arial" w:eastAsia="Times New Roman" w:hAnsi="Arial" w:cs="Times New Roman"/>
      <w:color w:val="000000"/>
      <w:kern w:val="0"/>
      <w:sz w:val="24"/>
      <w:szCs w:val="24"/>
      <w:lang w:val="es-ES" w:eastAsia="es-ES"/>
      <w14:ligatures w14:val="none"/>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Bullet List Car,FooterText Car"/>
    <w:link w:val="Prrafodelista"/>
    <w:uiPriority w:val="1"/>
    <w:qFormat/>
    <w:rsid w:val="001A6BE2"/>
    <w:rPr>
      <w:rFonts w:ascii="Bookman Old Style" w:eastAsia="Times New Roman" w:hAnsi="Bookman Old Style" w:cs="Times New Roman"/>
      <w:i/>
      <w:kern w:val="0"/>
      <w:sz w:val="20"/>
      <w:szCs w:val="20"/>
      <w:lang w:eastAsia="ar-SA"/>
      <w14:ligatures w14:val="none"/>
    </w:rPr>
  </w:style>
  <w:style w:type="table" w:customStyle="1" w:styleId="Tablaconcuadrcula1">
    <w:name w:val="Tabla con cuadrícula1"/>
    <w:basedOn w:val="Tablanormal"/>
    <w:next w:val="Tablaconcuadrcula"/>
    <w:uiPriority w:val="59"/>
    <w:rsid w:val="001A6BE2"/>
    <w:pPr>
      <w:widowControl w:val="0"/>
      <w:autoSpaceDE w:val="0"/>
      <w:autoSpaceDN w:val="0"/>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A6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E4682E"/>
    <w:rPr>
      <w:rFonts w:ascii="Times New Roman" w:eastAsia="Times New Roman" w:hAnsi="Times New Roman" w:cs="Times New Roman"/>
      <w:kern w:val="0"/>
      <w:sz w:val="24"/>
      <w:szCs w:val="20"/>
      <w:lang w:eastAsia="es-ES"/>
      <w14:ligatures w14:val="none"/>
    </w:rPr>
  </w:style>
  <w:style w:type="table" w:customStyle="1" w:styleId="TableNormal">
    <w:name w:val="Table Normal"/>
    <w:uiPriority w:val="2"/>
    <w:semiHidden/>
    <w:unhideWhenUsed/>
    <w:qFormat/>
    <w:rsid w:val="00E4682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682E"/>
    <w:pPr>
      <w:widowControl w:val="0"/>
      <w:autoSpaceDE w:val="0"/>
      <w:autoSpaceDN w:val="0"/>
    </w:pPr>
    <w:rPr>
      <w:rFonts w:ascii="Arial MT" w:eastAsia="Arial MT" w:hAnsi="Arial MT" w:cs="Arial M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procedimientos.dotx</Template>
  <TotalTime>1</TotalTime>
  <Pages>6</Pages>
  <Words>1426</Words>
  <Characters>7844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JOHANNA ANDREA SANCHEZ GALVIS</cp:lastModifiedBy>
  <cp:revision>2</cp:revision>
  <dcterms:created xsi:type="dcterms:W3CDTF">2024-11-08T20:26:00Z</dcterms:created>
  <dcterms:modified xsi:type="dcterms:W3CDTF">2024-11-08T20:26:00Z</dcterms:modified>
</cp:coreProperties>
</file>