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71093" w14:textId="64673FB0" w:rsidR="00613683" w:rsidRPr="00EA389A" w:rsidRDefault="00613683" w:rsidP="000E2940">
      <w:pPr>
        <w:spacing w:after="0" w:line="240" w:lineRule="auto"/>
        <w:jc w:val="center"/>
        <w:rPr>
          <w:rFonts w:ascii="Verdana" w:hAnsi="Verdana"/>
          <w:b/>
          <w:bCs/>
        </w:rPr>
      </w:pPr>
      <w:r w:rsidRPr="00EA389A">
        <w:rPr>
          <w:rFonts w:ascii="Verdana" w:hAnsi="Verdana"/>
          <w:b/>
          <w:bCs/>
        </w:rPr>
        <w:t>UAE CONTADURÍA GENERAL DE LA NACIÓN</w:t>
      </w:r>
    </w:p>
    <w:p w14:paraId="31C312C5" w14:textId="77777777" w:rsidR="000E2940" w:rsidRPr="00EA389A" w:rsidRDefault="000E2940" w:rsidP="000E2940">
      <w:pPr>
        <w:spacing w:after="0" w:line="240" w:lineRule="auto"/>
        <w:jc w:val="center"/>
        <w:rPr>
          <w:rFonts w:ascii="Verdana" w:hAnsi="Verdana"/>
          <w:b/>
          <w:bCs/>
        </w:rPr>
      </w:pPr>
    </w:p>
    <w:p w14:paraId="464AC0C2" w14:textId="77777777" w:rsidR="000E2940" w:rsidRPr="00EA389A" w:rsidRDefault="000E2940" w:rsidP="000E2940">
      <w:pPr>
        <w:spacing w:after="0" w:line="240" w:lineRule="auto"/>
        <w:jc w:val="center"/>
        <w:rPr>
          <w:rFonts w:ascii="Verdana" w:hAnsi="Verdana"/>
          <w:b/>
          <w:bCs/>
        </w:rPr>
      </w:pPr>
    </w:p>
    <w:p w14:paraId="1478E279" w14:textId="77777777" w:rsidR="00613683" w:rsidRPr="00EA389A" w:rsidRDefault="00613683" w:rsidP="000E2940">
      <w:pPr>
        <w:spacing w:after="0" w:line="240" w:lineRule="auto"/>
        <w:jc w:val="center"/>
        <w:rPr>
          <w:rFonts w:ascii="Verdana" w:hAnsi="Verdana"/>
          <w:b/>
          <w:bCs/>
        </w:rPr>
      </w:pPr>
      <w:r w:rsidRPr="00EA389A">
        <w:rPr>
          <w:rFonts w:ascii="Verdana" w:hAnsi="Verdana"/>
          <w:b/>
          <w:bCs/>
        </w:rPr>
        <w:t>RESOLUCIÓN NÚMERO XX DEL DD-MM-AAAA</w:t>
      </w:r>
    </w:p>
    <w:p w14:paraId="578F9770" w14:textId="77777777" w:rsidR="000E2940" w:rsidRPr="00EA389A" w:rsidRDefault="000E2940" w:rsidP="000E2940">
      <w:pPr>
        <w:spacing w:after="0" w:line="240" w:lineRule="auto"/>
        <w:jc w:val="center"/>
        <w:rPr>
          <w:rFonts w:ascii="Verdana" w:hAnsi="Verdana"/>
          <w:b/>
          <w:bCs/>
        </w:rPr>
      </w:pPr>
    </w:p>
    <w:p w14:paraId="51F4DACC" w14:textId="77777777" w:rsidR="000E2940" w:rsidRPr="00EA389A" w:rsidRDefault="000E2940" w:rsidP="000E2940">
      <w:pPr>
        <w:spacing w:after="0" w:line="240" w:lineRule="auto"/>
        <w:jc w:val="center"/>
        <w:rPr>
          <w:rFonts w:ascii="Verdana" w:hAnsi="Verdana"/>
          <w:b/>
          <w:bCs/>
        </w:rPr>
      </w:pPr>
    </w:p>
    <w:p w14:paraId="7B026C5A" w14:textId="326FE91E" w:rsidR="00613683" w:rsidRPr="00EA389A" w:rsidRDefault="001E68EE" w:rsidP="000E2940">
      <w:pPr>
        <w:spacing w:after="0" w:line="240" w:lineRule="auto"/>
        <w:jc w:val="center"/>
        <w:rPr>
          <w:rFonts w:ascii="Verdana" w:eastAsia="Verdana" w:hAnsi="Verdana" w:cs="Verdana"/>
        </w:rPr>
      </w:pPr>
      <w:bookmarkStart w:id="0" w:name="_Hlk189932806"/>
      <w:r w:rsidRPr="00EA389A">
        <w:rPr>
          <w:rFonts w:ascii="Verdana" w:eastAsia="Verdana" w:hAnsi="Verdana" w:cs="Verdana"/>
        </w:rPr>
        <w:t xml:space="preserve">Por la cual se establece la </w:t>
      </w:r>
      <w:r w:rsidR="009711E1">
        <w:rPr>
          <w:rFonts w:ascii="Verdana" w:eastAsia="Verdana" w:hAnsi="Verdana" w:cs="Verdana"/>
        </w:rPr>
        <w:t>i</w:t>
      </w:r>
      <w:r w:rsidRPr="00EA389A">
        <w:rPr>
          <w:rFonts w:ascii="Verdana" w:eastAsia="Verdana" w:hAnsi="Verdana" w:cs="Verdana"/>
        </w:rPr>
        <w:t>nformación a reportar, los requisitos, plazos y característica</w:t>
      </w:r>
      <w:r w:rsidR="0038175A" w:rsidRPr="00EA389A">
        <w:rPr>
          <w:rFonts w:ascii="Verdana" w:eastAsia="Verdana" w:hAnsi="Verdana" w:cs="Verdana"/>
        </w:rPr>
        <w:t>s</w:t>
      </w:r>
      <w:r w:rsidRPr="00EA389A">
        <w:rPr>
          <w:rFonts w:ascii="Verdana" w:eastAsia="Verdana" w:hAnsi="Verdana" w:cs="Verdana"/>
        </w:rPr>
        <w:t xml:space="preserve"> de envío a la Contaduría General de la Nación y se derogan las Resoluciones No. 411 de 2023 y 038 de 2024</w:t>
      </w:r>
      <w:bookmarkEnd w:id="0"/>
    </w:p>
    <w:p w14:paraId="77CB5613" w14:textId="77777777" w:rsidR="000E2940" w:rsidRPr="00EA389A" w:rsidRDefault="000E2940" w:rsidP="000E2940">
      <w:pPr>
        <w:spacing w:after="0" w:line="240" w:lineRule="auto"/>
        <w:jc w:val="center"/>
        <w:rPr>
          <w:rFonts w:ascii="Verdana" w:hAnsi="Verdana"/>
          <w:b/>
          <w:bCs/>
          <w:lang w:val="pt-BR"/>
        </w:rPr>
      </w:pPr>
    </w:p>
    <w:p w14:paraId="304C61FA" w14:textId="77777777" w:rsidR="000E2940" w:rsidRPr="00EA389A" w:rsidRDefault="000E2940" w:rsidP="000E2940">
      <w:pPr>
        <w:spacing w:after="0" w:line="240" w:lineRule="auto"/>
        <w:jc w:val="center"/>
        <w:rPr>
          <w:rFonts w:ascii="Verdana" w:hAnsi="Verdana"/>
          <w:b/>
          <w:bCs/>
          <w:lang w:val="pt-BR"/>
        </w:rPr>
      </w:pPr>
    </w:p>
    <w:p w14:paraId="2703B381" w14:textId="77777777" w:rsidR="00613683" w:rsidRPr="00EA389A" w:rsidRDefault="00613683" w:rsidP="000E2940">
      <w:pPr>
        <w:spacing w:after="0" w:line="240" w:lineRule="auto"/>
        <w:jc w:val="center"/>
        <w:rPr>
          <w:rFonts w:ascii="Verdana" w:hAnsi="Verdana"/>
          <w:b/>
          <w:bCs/>
        </w:rPr>
      </w:pPr>
      <w:r w:rsidRPr="00EA389A">
        <w:rPr>
          <w:rFonts w:ascii="Verdana" w:hAnsi="Verdana"/>
          <w:b/>
          <w:bCs/>
        </w:rPr>
        <w:t>EL CONTADOR GENERAL DE LA NACIÓN</w:t>
      </w:r>
    </w:p>
    <w:p w14:paraId="13B178DC" w14:textId="77777777" w:rsidR="000E2940" w:rsidRPr="00EA389A" w:rsidRDefault="000E2940" w:rsidP="000E2940">
      <w:pPr>
        <w:spacing w:after="0" w:line="240" w:lineRule="auto"/>
        <w:jc w:val="center"/>
        <w:rPr>
          <w:rFonts w:ascii="Verdana" w:hAnsi="Verdana"/>
          <w:b/>
          <w:bCs/>
        </w:rPr>
      </w:pPr>
    </w:p>
    <w:p w14:paraId="19849292" w14:textId="77777777" w:rsidR="000E2940" w:rsidRPr="00EA389A" w:rsidRDefault="000E2940" w:rsidP="000E2940">
      <w:pPr>
        <w:spacing w:after="0" w:line="240" w:lineRule="auto"/>
        <w:jc w:val="center"/>
        <w:rPr>
          <w:rFonts w:ascii="Verdana" w:hAnsi="Verdana"/>
          <w:b/>
          <w:bCs/>
        </w:rPr>
      </w:pPr>
    </w:p>
    <w:p w14:paraId="540A2A9D" w14:textId="5582F8B3" w:rsidR="00613683" w:rsidRPr="00EA389A" w:rsidRDefault="00613683" w:rsidP="000E2940">
      <w:pPr>
        <w:spacing w:after="0" w:line="240" w:lineRule="auto"/>
        <w:jc w:val="center"/>
        <w:rPr>
          <w:rFonts w:ascii="Verdana" w:hAnsi="Verdana"/>
          <w:lang w:val="es-ES"/>
        </w:rPr>
      </w:pPr>
      <w:r w:rsidRPr="00EA389A">
        <w:rPr>
          <w:rFonts w:ascii="Verdana" w:hAnsi="Verdana"/>
          <w:lang w:val="es-ES"/>
        </w:rPr>
        <w:t>En ejercicio de sus facultades legales y en especial las que le confiere el literal g) del artículo 3 de la Ley 298 de 1996, el numeral 8 del artículo 4 del Decreto 1</w:t>
      </w:r>
      <w:r w:rsidR="00A7526D" w:rsidRPr="00EA389A">
        <w:rPr>
          <w:rFonts w:ascii="Verdana" w:hAnsi="Verdana"/>
          <w:lang w:val="es-ES"/>
        </w:rPr>
        <w:t>693</w:t>
      </w:r>
      <w:r w:rsidRPr="00EA389A">
        <w:rPr>
          <w:rFonts w:ascii="Verdana" w:hAnsi="Verdana"/>
          <w:lang w:val="es-ES"/>
        </w:rPr>
        <w:t xml:space="preserve"> de 20</w:t>
      </w:r>
      <w:r w:rsidR="00A7526D" w:rsidRPr="00EA389A">
        <w:rPr>
          <w:rFonts w:ascii="Verdana" w:hAnsi="Verdana"/>
          <w:lang w:val="es-ES"/>
        </w:rPr>
        <w:t>23</w:t>
      </w:r>
      <w:r w:rsidRPr="00EA389A">
        <w:rPr>
          <w:rFonts w:ascii="Verdana" w:hAnsi="Verdana"/>
          <w:lang w:val="es-ES"/>
        </w:rPr>
        <w:t>, el Decreto 648 de 2017 que modifica y adiciona el Decreto 1083 de 2015</w:t>
      </w:r>
      <w:r w:rsidR="00777EB3" w:rsidRPr="00EA389A">
        <w:rPr>
          <w:rFonts w:ascii="Verdana" w:hAnsi="Verdana"/>
          <w:lang w:val="es-ES"/>
        </w:rPr>
        <w:t xml:space="preserve"> </w:t>
      </w:r>
      <w:r w:rsidRPr="00EA389A">
        <w:rPr>
          <w:rFonts w:ascii="Verdana" w:hAnsi="Verdana"/>
          <w:lang w:val="es-ES"/>
        </w:rPr>
        <w:t>y,</w:t>
      </w:r>
    </w:p>
    <w:p w14:paraId="51FCDCA1" w14:textId="77777777" w:rsidR="00613683" w:rsidRPr="00EA389A" w:rsidRDefault="00613683" w:rsidP="000E2940">
      <w:pPr>
        <w:spacing w:after="0" w:line="240" w:lineRule="auto"/>
        <w:jc w:val="center"/>
        <w:rPr>
          <w:rFonts w:ascii="Verdana" w:hAnsi="Verdana"/>
          <w:lang w:val="es-ES"/>
        </w:rPr>
      </w:pPr>
    </w:p>
    <w:p w14:paraId="736E72BF" w14:textId="77777777" w:rsidR="000E2940" w:rsidRPr="00EA389A" w:rsidRDefault="000E2940" w:rsidP="000E2940">
      <w:pPr>
        <w:spacing w:after="0" w:line="240" w:lineRule="auto"/>
        <w:jc w:val="center"/>
        <w:rPr>
          <w:rFonts w:ascii="Verdana" w:hAnsi="Verdana"/>
          <w:lang w:val="es-ES"/>
        </w:rPr>
      </w:pPr>
    </w:p>
    <w:p w14:paraId="25119F34" w14:textId="608C0F5B" w:rsidR="00613683" w:rsidRPr="00EA389A" w:rsidRDefault="00613683" w:rsidP="000E2940">
      <w:pPr>
        <w:spacing w:after="0" w:line="240" w:lineRule="auto"/>
        <w:jc w:val="center"/>
        <w:rPr>
          <w:rFonts w:ascii="Verdana" w:hAnsi="Verdana"/>
          <w:b/>
          <w:bCs/>
          <w:lang w:val="es-ES"/>
        </w:rPr>
      </w:pPr>
      <w:r w:rsidRPr="00EA389A">
        <w:rPr>
          <w:rFonts w:ascii="Verdana" w:hAnsi="Verdana"/>
          <w:b/>
          <w:bCs/>
          <w:lang w:val="es-ES"/>
        </w:rPr>
        <w:t>CONSIDERANDO</w:t>
      </w:r>
      <w:r w:rsidR="00120781" w:rsidRPr="00EA389A">
        <w:rPr>
          <w:rFonts w:ascii="Verdana" w:hAnsi="Verdana"/>
          <w:b/>
          <w:bCs/>
          <w:lang w:val="es-ES"/>
        </w:rPr>
        <w:t xml:space="preserve"> QUE</w:t>
      </w:r>
      <w:r w:rsidRPr="00EA389A">
        <w:rPr>
          <w:rFonts w:ascii="Verdana" w:hAnsi="Verdana"/>
          <w:b/>
          <w:bCs/>
          <w:lang w:val="es-ES"/>
        </w:rPr>
        <w:t>:</w:t>
      </w:r>
    </w:p>
    <w:p w14:paraId="482BFE91" w14:textId="77777777" w:rsidR="000E2940" w:rsidRPr="00EA389A" w:rsidRDefault="000E2940" w:rsidP="000E2940">
      <w:pPr>
        <w:spacing w:after="0" w:line="240" w:lineRule="auto"/>
        <w:jc w:val="center"/>
        <w:rPr>
          <w:rFonts w:ascii="Verdana" w:hAnsi="Verdana"/>
          <w:b/>
          <w:bCs/>
          <w:lang w:val="es-ES"/>
        </w:rPr>
      </w:pPr>
    </w:p>
    <w:p w14:paraId="5F172A89" w14:textId="77777777" w:rsidR="000E2940" w:rsidRPr="00EA389A" w:rsidRDefault="000E2940" w:rsidP="000E2940">
      <w:pPr>
        <w:spacing w:after="0" w:line="240" w:lineRule="auto"/>
        <w:jc w:val="center"/>
        <w:rPr>
          <w:rFonts w:ascii="Verdana" w:hAnsi="Verdana"/>
          <w:b/>
          <w:bCs/>
          <w:lang w:val="es-ES"/>
        </w:rPr>
      </w:pPr>
    </w:p>
    <w:p w14:paraId="5AA04290" w14:textId="77777777" w:rsidR="009812DE" w:rsidRPr="00EA389A" w:rsidRDefault="009812DE" w:rsidP="000E2940">
      <w:pPr>
        <w:tabs>
          <w:tab w:val="left" w:pos="8820"/>
        </w:tabs>
        <w:spacing w:after="0" w:line="240" w:lineRule="auto"/>
        <w:jc w:val="both"/>
        <w:rPr>
          <w:rFonts w:ascii="Verdana" w:eastAsia="Verdana" w:hAnsi="Verdana" w:cs="Verdana"/>
        </w:rPr>
      </w:pPr>
      <w:bookmarkStart w:id="1" w:name="_Hlk189933181"/>
      <w:r w:rsidRPr="00EA389A">
        <w:rPr>
          <w:rFonts w:ascii="Verdana" w:eastAsia="Verdana" w:hAnsi="Verdana" w:cs="Verdana"/>
        </w:rPr>
        <w:t xml:space="preserve">El artículo 354 de la Constitución Política de 1991 señala que habrá un Contador General, y le confiere, entre otras, la función de determinar las normas contables que deben regir en el país. Este artículo fue desarrollado por la Ley 298 de 1996 que, entre otras disposiciones, crea la Unidad Administrativa Especial Contaduría General de la Nación (CGN). </w:t>
      </w:r>
    </w:p>
    <w:p w14:paraId="51267976" w14:textId="77777777" w:rsidR="009812DE" w:rsidRPr="00EA389A" w:rsidRDefault="009812DE" w:rsidP="000E2940">
      <w:pPr>
        <w:spacing w:after="0" w:line="240" w:lineRule="auto"/>
        <w:rPr>
          <w:rFonts w:ascii="Verdana" w:hAnsi="Verdana"/>
          <w:b/>
          <w:bCs/>
        </w:rPr>
      </w:pPr>
    </w:p>
    <w:p w14:paraId="4C0E73F7" w14:textId="77777777" w:rsidR="009812DE" w:rsidRPr="00EA389A" w:rsidRDefault="009812DE" w:rsidP="000E2940">
      <w:pPr>
        <w:tabs>
          <w:tab w:val="left" w:pos="0"/>
        </w:tabs>
        <w:spacing w:after="0" w:line="240" w:lineRule="auto"/>
        <w:jc w:val="both"/>
        <w:rPr>
          <w:rFonts w:ascii="Verdana" w:eastAsia="Verdana" w:hAnsi="Verdana" w:cs="Verdana"/>
        </w:rPr>
      </w:pPr>
      <w:r w:rsidRPr="00EA389A">
        <w:rPr>
          <w:rFonts w:ascii="Verdana" w:eastAsia="Verdana" w:hAnsi="Verdana" w:cs="Verdana"/>
        </w:rPr>
        <w:t>Los artículos 1 y 5 de la Resolución 354 de 2007, expedida por la CGN, modificados por el artículo 1 de la Resolución 156 de 2018 y por el artículo 1 de la Resolución 195 de 2021, respectivamente, establecen la conformación y el ámbito de aplicación del Régimen de Contabilidad Pública (RCP).</w:t>
      </w:r>
    </w:p>
    <w:p w14:paraId="6183AB3D" w14:textId="77777777" w:rsidR="009812DE" w:rsidRPr="00EA389A" w:rsidRDefault="009812DE" w:rsidP="000E2940">
      <w:pPr>
        <w:tabs>
          <w:tab w:val="left" w:pos="0"/>
        </w:tabs>
        <w:spacing w:after="0" w:line="240" w:lineRule="auto"/>
        <w:jc w:val="both"/>
        <w:rPr>
          <w:rFonts w:ascii="Verdana" w:eastAsia="Verdana" w:hAnsi="Verdana" w:cs="Verdana"/>
        </w:rPr>
      </w:pPr>
    </w:p>
    <w:p w14:paraId="382F6480" w14:textId="4797BC4F" w:rsidR="009812DE" w:rsidRPr="00EA389A" w:rsidRDefault="009711E1" w:rsidP="000E2940">
      <w:pPr>
        <w:tabs>
          <w:tab w:val="left" w:pos="0"/>
        </w:tabs>
        <w:spacing w:after="0" w:line="240" w:lineRule="auto"/>
        <w:jc w:val="both"/>
        <w:rPr>
          <w:rFonts w:ascii="Verdana" w:eastAsia="Verdana" w:hAnsi="Verdana" w:cs="Verdana"/>
        </w:rPr>
      </w:pPr>
      <w:r>
        <w:rPr>
          <w:rFonts w:ascii="Verdana" w:eastAsia="Verdana" w:hAnsi="Verdana" w:cs="Verdana"/>
        </w:rPr>
        <w:t xml:space="preserve">La </w:t>
      </w:r>
      <w:r w:rsidR="0038175A" w:rsidRPr="00EA389A">
        <w:rPr>
          <w:rFonts w:ascii="Verdana" w:eastAsia="Verdana" w:hAnsi="Verdana" w:cs="Verdana"/>
        </w:rPr>
        <w:t>Resolución 193 de 2016</w:t>
      </w:r>
      <w:r w:rsidR="009812DE" w:rsidRPr="00EA389A">
        <w:rPr>
          <w:rFonts w:ascii="Verdana" w:eastAsia="Verdana" w:hAnsi="Verdana" w:cs="Verdana"/>
        </w:rPr>
        <w:t>, incorpor</w:t>
      </w:r>
      <w:r w:rsidR="00994B56" w:rsidRPr="00EA389A">
        <w:rPr>
          <w:rFonts w:ascii="Verdana" w:eastAsia="Verdana" w:hAnsi="Verdana" w:cs="Verdana"/>
        </w:rPr>
        <w:t>ó</w:t>
      </w:r>
      <w:r w:rsidR="009812DE" w:rsidRPr="00EA389A">
        <w:rPr>
          <w:rFonts w:ascii="Verdana" w:eastAsia="Verdana" w:hAnsi="Verdana" w:cs="Verdana"/>
        </w:rPr>
        <w:t xml:space="preserve"> en los Procedimientos Trasversales del Régimen de </w:t>
      </w:r>
      <w:r w:rsidR="00994B56" w:rsidRPr="00EA389A">
        <w:rPr>
          <w:rFonts w:ascii="Verdana" w:eastAsia="Verdana" w:hAnsi="Verdana" w:cs="Verdana"/>
        </w:rPr>
        <w:t>C</w:t>
      </w:r>
      <w:r w:rsidR="009812DE" w:rsidRPr="00EA389A">
        <w:rPr>
          <w:rFonts w:ascii="Verdana" w:eastAsia="Verdana" w:hAnsi="Verdana" w:cs="Verdana"/>
        </w:rPr>
        <w:t>ontabilidad Pública, el Procedimiento para la Evaluación del Control Interno Contable</w:t>
      </w:r>
      <w:r w:rsidR="00994B56" w:rsidRPr="00EA389A">
        <w:rPr>
          <w:rFonts w:ascii="Verdana" w:eastAsia="Verdana" w:hAnsi="Verdana" w:cs="Verdana"/>
        </w:rPr>
        <w:t>,</w:t>
      </w:r>
      <w:r w:rsidR="009812DE" w:rsidRPr="00EA389A">
        <w:rPr>
          <w:rFonts w:ascii="Verdana" w:eastAsia="Verdana" w:hAnsi="Verdana" w:cs="Verdana"/>
        </w:rPr>
        <w:t xml:space="preserve"> el cual contiene las orientaciones para s</w:t>
      </w:r>
      <w:r w:rsidR="0038175A" w:rsidRPr="00EA389A">
        <w:rPr>
          <w:rFonts w:ascii="Verdana" w:eastAsia="Verdana" w:hAnsi="Verdana" w:cs="Verdana"/>
        </w:rPr>
        <w:t>u</w:t>
      </w:r>
      <w:r w:rsidR="009812DE" w:rsidRPr="00EA389A">
        <w:rPr>
          <w:rFonts w:ascii="Verdana" w:eastAsia="Verdana" w:hAnsi="Verdana" w:cs="Verdana"/>
        </w:rPr>
        <w:t xml:space="preserve"> elaboración y presentación.</w:t>
      </w:r>
    </w:p>
    <w:p w14:paraId="0D2F47BD" w14:textId="77777777" w:rsidR="009812DE" w:rsidRPr="00EA389A" w:rsidRDefault="009812DE" w:rsidP="000E2940">
      <w:pPr>
        <w:tabs>
          <w:tab w:val="left" w:pos="0"/>
        </w:tabs>
        <w:spacing w:after="0" w:line="240" w:lineRule="auto"/>
        <w:jc w:val="both"/>
        <w:rPr>
          <w:rFonts w:ascii="Verdana" w:eastAsia="Verdana" w:hAnsi="Verdana" w:cs="Verdana"/>
        </w:rPr>
      </w:pPr>
    </w:p>
    <w:p w14:paraId="68E728E9" w14:textId="5AC72431" w:rsidR="00D76B9A" w:rsidRPr="00EA389A" w:rsidRDefault="00D76B9A" w:rsidP="000E2940">
      <w:pPr>
        <w:tabs>
          <w:tab w:val="left" w:pos="0"/>
        </w:tabs>
        <w:spacing w:after="0" w:line="240" w:lineRule="auto"/>
        <w:jc w:val="both"/>
        <w:rPr>
          <w:rFonts w:ascii="Verdana" w:eastAsia="Verdana" w:hAnsi="Verdana" w:cs="Verdana"/>
        </w:rPr>
      </w:pPr>
      <w:r w:rsidRPr="00EA389A">
        <w:rPr>
          <w:rFonts w:ascii="Verdana" w:eastAsia="Verdana" w:hAnsi="Verdana" w:cs="Verdana"/>
        </w:rPr>
        <w:t>La Resolución 037 de 2018, fija los parámetros para el envío de la información a la CGN, relacionada con el Boletín de Deudores Morosos del Estado (BDME).</w:t>
      </w:r>
    </w:p>
    <w:p w14:paraId="7676D2F9" w14:textId="77777777" w:rsidR="00D76B9A" w:rsidRPr="00EA389A" w:rsidRDefault="00D76B9A" w:rsidP="000E2940">
      <w:pPr>
        <w:tabs>
          <w:tab w:val="left" w:pos="0"/>
        </w:tabs>
        <w:spacing w:after="0" w:line="240" w:lineRule="auto"/>
        <w:jc w:val="both"/>
        <w:rPr>
          <w:rFonts w:ascii="Verdana" w:eastAsia="Verdana" w:hAnsi="Verdana" w:cs="Verdana"/>
        </w:rPr>
      </w:pPr>
    </w:p>
    <w:p w14:paraId="69DFCAD7" w14:textId="59CF4648" w:rsidR="009812DE" w:rsidRPr="00EA389A" w:rsidRDefault="009812DE" w:rsidP="000E2940">
      <w:pPr>
        <w:tabs>
          <w:tab w:val="left" w:pos="0"/>
        </w:tabs>
        <w:spacing w:after="0" w:line="240" w:lineRule="auto"/>
        <w:jc w:val="both"/>
        <w:rPr>
          <w:rFonts w:ascii="Verdana" w:eastAsia="Verdana" w:hAnsi="Verdana" w:cs="Verdana"/>
        </w:rPr>
      </w:pPr>
      <w:r w:rsidRPr="00EA389A">
        <w:rPr>
          <w:rFonts w:ascii="Verdana" w:eastAsia="Verdana" w:hAnsi="Verdana" w:cs="Verdana"/>
        </w:rPr>
        <w:t xml:space="preserve">La Resolución 411 de 2023, </w:t>
      </w:r>
      <w:r w:rsidR="00994B56" w:rsidRPr="00EA389A">
        <w:rPr>
          <w:rFonts w:ascii="Verdana" w:eastAsia="Verdana" w:hAnsi="Verdana" w:cs="Verdana"/>
        </w:rPr>
        <w:t>p</w:t>
      </w:r>
      <w:r w:rsidRPr="00EA389A">
        <w:rPr>
          <w:rFonts w:ascii="Verdana" w:eastAsia="Verdana" w:hAnsi="Verdana" w:cs="Verdana"/>
        </w:rPr>
        <w:t>or la cual se establece la Información a reportar, los requisitos, plazos y característica de envío a la Contaduría General de la Nación</w:t>
      </w:r>
      <w:r w:rsidR="00994B56" w:rsidRPr="00EA389A">
        <w:rPr>
          <w:rFonts w:ascii="Verdana" w:eastAsia="Verdana" w:hAnsi="Verdana" w:cs="Verdana"/>
        </w:rPr>
        <w:t xml:space="preserve"> y se deroga la Resolución 706 de 2016</w:t>
      </w:r>
      <w:r w:rsidRPr="00EA389A">
        <w:rPr>
          <w:rFonts w:ascii="Verdana" w:eastAsia="Verdana" w:hAnsi="Verdana" w:cs="Verdana"/>
        </w:rPr>
        <w:t>.</w:t>
      </w:r>
    </w:p>
    <w:p w14:paraId="49758840" w14:textId="77777777" w:rsidR="009812DE" w:rsidRPr="00EA389A" w:rsidRDefault="009812DE" w:rsidP="000E2940">
      <w:pPr>
        <w:tabs>
          <w:tab w:val="left" w:pos="0"/>
        </w:tabs>
        <w:spacing w:after="0" w:line="240" w:lineRule="auto"/>
        <w:jc w:val="both"/>
        <w:rPr>
          <w:rFonts w:ascii="Verdana" w:eastAsia="Verdana" w:hAnsi="Verdana" w:cs="Verdana"/>
        </w:rPr>
      </w:pPr>
    </w:p>
    <w:p w14:paraId="3CF8D98A" w14:textId="070E57AF" w:rsidR="009812DE" w:rsidRPr="00EA389A" w:rsidRDefault="009812DE" w:rsidP="000E2940">
      <w:pPr>
        <w:tabs>
          <w:tab w:val="left" w:pos="0"/>
        </w:tabs>
        <w:spacing w:after="0" w:line="240" w:lineRule="auto"/>
        <w:jc w:val="both"/>
        <w:rPr>
          <w:rFonts w:ascii="Verdana" w:eastAsia="Verdana" w:hAnsi="Verdana" w:cs="Verdana"/>
        </w:rPr>
      </w:pPr>
      <w:r w:rsidRPr="00EA389A">
        <w:rPr>
          <w:rFonts w:ascii="Verdana" w:eastAsia="Verdana" w:hAnsi="Verdana" w:cs="Verdana"/>
        </w:rPr>
        <w:t xml:space="preserve">La Resolución 038 de 2024, </w:t>
      </w:r>
      <w:r w:rsidR="00994B56" w:rsidRPr="00EA389A">
        <w:rPr>
          <w:rFonts w:ascii="Verdana" w:eastAsia="Verdana" w:hAnsi="Verdana" w:cs="Verdana"/>
        </w:rPr>
        <w:t>p</w:t>
      </w:r>
      <w:r w:rsidRPr="00EA389A">
        <w:rPr>
          <w:rFonts w:ascii="Verdana" w:eastAsia="Verdana" w:hAnsi="Verdana" w:cs="Verdana"/>
        </w:rPr>
        <w:t>or la cual se modifica el parágrafo 3 del artículo 6 de la Resolución 411 de 2023</w:t>
      </w:r>
      <w:r w:rsidR="002D73AF" w:rsidRPr="00EA389A">
        <w:rPr>
          <w:rFonts w:ascii="Verdana" w:eastAsia="Verdana" w:hAnsi="Verdana" w:cs="Verdana"/>
        </w:rPr>
        <w:t xml:space="preserve"> y se derogan las Resoluciones 441 de 2019 y 193 de 2020</w:t>
      </w:r>
      <w:r w:rsidRPr="00EA389A">
        <w:rPr>
          <w:rFonts w:ascii="Verdana" w:eastAsia="Verdana" w:hAnsi="Verdana" w:cs="Verdana"/>
        </w:rPr>
        <w:t>.</w:t>
      </w:r>
    </w:p>
    <w:p w14:paraId="31BE5841" w14:textId="77777777" w:rsidR="009812DE" w:rsidRPr="00EA389A" w:rsidRDefault="009812DE" w:rsidP="000E2940">
      <w:pPr>
        <w:tabs>
          <w:tab w:val="left" w:pos="0"/>
        </w:tabs>
        <w:spacing w:after="0" w:line="240" w:lineRule="auto"/>
        <w:jc w:val="both"/>
        <w:rPr>
          <w:rFonts w:ascii="Verdana" w:eastAsia="Verdana" w:hAnsi="Verdana" w:cs="Verdana"/>
        </w:rPr>
      </w:pPr>
    </w:p>
    <w:p w14:paraId="1900AAFD" w14:textId="42B3A5E9" w:rsidR="006759FF" w:rsidRPr="00EA389A" w:rsidRDefault="006759FF" w:rsidP="000E2940">
      <w:pPr>
        <w:tabs>
          <w:tab w:val="left" w:pos="0"/>
        </w:tabs>
        <w:spacing w:after="0" w:line="240" w:lineRule="auto"/>
        <w:jc w:val="both"/>
        <w:rPr>
          <w:rFonts w:ascii="Verdana" w:eastAsia="Verdana" w:hAnsi="Verdana" w:cs="Verdana"/>
        </w:rPr>
      </w:pPr>
      <w:r w:rsidRPr="00EA389A">
        <w:rPr>
          <w:rFonts w:ascii="Verdana" w:eastAsia="Verdana" w:hAnsi="Verdana" w:cs="Verdana"/>
        </w:rPr>
        <w:t xml:space="preserve">El documento CONPES 4008 del 26 de octubre de 2020, contempla la acción de reglamentar la estructura institucional del Sistema Integrado de Gestión Financiera Pública (SIGFP), mediante la creación de la Comisión Intersectorial </w:t>
      </w:r>
      <w:r w:rsidR="001B1413" w:rsidRPr="00EA389A">
        <w:rPr>
          <w:rFonts w:ascii="Verdana" w:eastAsia="Verdana" w:hAnsi="Verdana" w:cs="Verdana"/>
        </w:rPr>
        <w:t xml:space="preserve">de Información para la Gestión Financiera Pública </w:t>
      </w:r>
      <w:r w:rsidRPr="00EA389A">
        <w:rPr>
          <w:rFonts w:ascii="Verdana" w:eastAsia="Verdana" w:hAnsi="Verdana" w:cs="Verdana"/>
        </w:rPr>
        <w:t xml:space="preserve">que haga las veces de una instancia de orientación superior, coordinación y armonización de los </w:t>
      </w:r>
      <w:r w:rsidRPr="00EA389A">
        <w:rPr>
          <w:rFonts w:ascii="Verdana" w:eastAsia="Verdana" w:hAnsi="Verdana" w:cs="Verdana"/>
        </w:rPr>
        <w:lastRenderedPageBreak/>
        <w:t>subsistemas que producen información para la GFP; así como la recomendación de que el Ministerio de Hacienda y Crédito Público expida la normatividad que permita poner en marcha la reforma a la GFP. </w:t>
      </w:r>
    </w:p>
    <w:p w14:paraId="49AC5AE4" w14:textId="77777777" w:rsidR="006759FF" w:rsidRPr="00EA389A" w:rsidRDefault="006759FF" w:rsidP="000E2940">
      <w:pPr>
        <w:tabs>
          <w:tab w:val="left" w:pos="0"/>
        </w:tabs>
        <w:spacing w:after="0" w:line="240" w:lineRule="auto"/>
        <w:jc w:val="both"/>
        <w:rPr>
          <w:rFonts w:ascii="Verdana" w:eastAsia="Verdana" w:hAnsi="Verdana" w:cs="Verdana"/>
        </w:rPr>
      </w:pPr>
    </w:p>
    <w:p w14:paraId="6DC6A471" w14:textId="4F37C4D1" w:rsidR="006759FF" w:rsidRPr="00EA389A" w:rsidRDefault="006759FF" w:rsidP="000E2940">
      <w:pPr>
        <w:tabs>
          <w:tab w:val="left" w:pos="0"/>
        </w:tabs>
        <w:spacing w:after="0" w:line="240" w:lineRule="auto"/>
        <w:jc w:val="both"/>
        <w:rPr>
          <w:rFonts w:ascii="Verdana" w:eastAsia="Verdana" w:hAnsi="Verdana" w:cs="Verdana"/>
        </w:rPr>
      </w:pPr>
      <w:r w:rsidRPr="00EA389A">
        <w:rPr>
          <w:rFonts w:ascii="Verdana" w:eastAsia="Verdana" w:hAnsi="Verdana" w:cs="Verdana"/>
        </w:rPr>
        <w:t xml:space="preserve">El </w:t>
      </w:r>
      <w:r w:rsidR="009711E1">
        <w:rPr>
          <w:rFonts w:ascii="Verdana" w:eastAsia="Verdana" w:hAnsi="Verdana" w:cs="Verdana"/>
        </w:rPr>
        <w:t>artículo 1 del</w:t>
      </w:r>
      <w:r w:rsidRPr="00EA389A">
        <w:rPr>
          <w:rFonts w:ascii="Verdana" w:eastAsia="Verdana" w:hAnsi="Verdana" w:cs="Verdana"/>
        </w:rPr>
        <w:t xml:space="preserve"> Decreto 224 de 2021, crea la Comisión Intersectorial de Información para la Gestión Financiera Pública (CIIGFP)</w:t>
      </w:r>
      <w:r w:rsidR="009711E1">
        <w:rPr>
          <w:rFonts w:ascii="Verdana" w:eastAsia="Verdana" w:hAnsi="Verdana" w:cs="Verdana"/>
        </w:rPr>
        <w:t xml:space="preserve"> </w:t>
      </w:r>
      <w:r w:rsidR="00995577">
        <w:rPr>
          <w:rFonts w:ascii="Verdana" w:eastAsia="Verdana" w:hAnsi="Verdana" w:cs="Verdana"/>
        </w:rPr>
        <w:t xml:space="preserve">y </w:t>
      </w:r>
      <w:r w:rsidR="009711E1">
        <w:rPr>
          <w:rFonts w:ascii="Verdana" w:eastAsia="Verdana" w:hAnsi="Verdana" w:cs="Verdana"/>
        </w:rPr>
        <w:t>e</w:t>
      </w:r>
      <w:r w:rsidRPr="00EA389A">
        <w:rPr>
          <w:rFonts w:ascii="Verdana" w:eastAsia="Verdana" w:hAnsi="Verdana" w:cs="Verdana"/>
        </w:rPr>
        <w:t xml:space="preserve">l artículo 4 establece dentro de </w:t>
      </w:r>
      <w:r w:rsidR="00995577">
        <w:rPr>
          <w:rFonts w:ascii="Verdana" w:eastAsia="Verdana" w:hAnsi="Verdana" w:cs="Verdana"/>
        </w:rPr>
        <w:t>sus</w:t>
      </w:r>
      <w:r w:rsidR="009711E1">
        <w:rPr>
          <w:rFonts w:ascii="Verdana" w:eastAsia="Verdana" w:hAnsi="Verdana" w:cs="Verdana"/>
        </w:rPr>
        <w:t xml:space="preserve"> </w:t>
      </w:r>
      <w:r w:rsidRPr="00EA389A">
        <w:rPr>
          <w:rFonts w:ascii="Verdana" w:eastAsia="Verdana" w:hAnsi="Verdana" w:cs="Verdana"/>
        </w:rPr>
        <w:t xml:space="preserve">funciones las siguientes: </w:t>
      </w:r>
    </w:p>
    <w:p w14:paraId="1517D358" w14:textId="77777777" w:rsidR="006759FF" w:rsidRPr="00EA389A" w:rsidRDefault="006759FF" w:rsidP="000E2940">
      <w:pPr>
        <w:tabs>
          <w:tab w:val="left" w:pos="0"/>
        </w:tabs>
        <w:spacing w:after="0" w:line="240" w:lineRule="auto"/>
        <w:jc w:val="both"/>
        <w:rPr>
          <w:rFonts w:ascii="Verdana" w:eastAsia="Verdana" w:hAnsi="Verdana" w:cs="Verdana"/>
        </w:rPr>
      </w:pPr>
    </w:p>
    <w:p w14:paraId="789F6940" w14:textId="77777777" w:rsidR="006759FF" w:rsidRPr="00EA389A" w:rsidRDefault="006759FF" w:rsidP="000E2940">
      <w:pPr>
        <w:tabs>
          <w:tab w:val="left" w:pos="0"/>
        </w:tabs>
        <w:spacing w:after="0" w:line="240" w:lineRule="auto"/>
        <w:jc w:val="both"/>
        <w:rPr>
          <w:rFonts w:ascii="Verdana" w:eastAsia="Verdana" w:hAnsi="Verdana" w:cs="Verdana"/>
        </w:rPr>
      </w:pPr>
      <w:r w:rsidRPr="00EA389A">
        <w:rPr>
          <w:rFonts w:ascii="Verdana" w:eastAsia="Verdana" w:hAnsi="Verdana" w:cs="Verdana"/>
        </w:rPr>
        <w:t>“2. Impartir directrices para la adopción de metodologías consistentes, homogéneas y armonizadas con los referentes internacionales sobre clasificación, registro, divulgación de datos y transparencia, con el fin de brindar información de GFP completa, coherente de calidad y oportuna; </w:t>
      </w:r>
    </w:p>
    <w:p w14:paraId="1695B32A" w14:textId="77777777" w:rsidR="006759FF" w:rsidRPr="00EA389A" w:rsidRDefault="006759FF" w:rsidP="000E2940">
      <w:pPr>
        <w:tabs>
          <w:tab w:val="left" w:pos="0"/>
        </w:tabs>
        <w:spacing w:after="0" w:line="240" w:lineRule="auto"/>
        <w:jc w:val="both"/>
        <w:rPr>
          <w:rFonts w:ascii="Verdana" w:eastAsia="Verdana" w:hAnsi="Verdana" w:cs="Verdana"/>
        </w:rPr>
      </w:pPr>
      <w:r w:rsidRPr="00EA389A">
        <w:rPr>
          <w:rFonts w:ascii="Verdana" w:eastAsia="Verdana" w:hAnsi="Verdana" w:cs="Verdana"/>
        </w:rPr>
        <w:t>  </w:t>
      </w:r>
    </w:p>
    <w:p w14:paraId="08070FED" w14:textId="77777777" w:rsidR="006759FF" w:rsidRPr="00EA389A" w:rsidRDefault="006759FF" w:rsidP="000E2940">
      <w:pPr>
        <w:tabs>
          <w:tab w:val="left" w:pos="0"/>
        </w:tabs>
        <w:spacing w:after="0" w:line="240" w:lineRule="auto"/>
        <w:jc w:val="both"/>
        <w:rPr>
          <w:rFonts w:ascii="Verdana" w:eastAsia="Verdana" w:hAnsi="Verdana" w:cs="Verdana"/>
        </w:rPr>
      </w:pPr>
      <w:r w:rsidRPr="00EA389A">
        <w:rPr>
          <w:rFonts w:ascii="Verdana" w:eastAsia="Verdana" w:hAnsi="Verdana" w:cs="Verdana"/>
        </w:rPr>
        <w:t>3. Estudiar, proponer y pronunciarse sobre las políticas y estrategias de ajuste institucional, procedimental y tecnológico sobre información para la GFP; </w:t>
      </w:r>
    </w:p>
    <w:p w14:paraId="11FABD62" w14:textId="77777777" w:rsidR="006759FF" w:rsidRPr="00EA389A" w:rsidRDefault="006759FF" w:rsidP="000E2940">
      <w:pPr>
        <w:tabs>
          <w:tab w:val="left" w:pos="0"/>
        </w:tabs>
        <w:spacing w:after="0" w:line="240" w:lineRule="auto"/>
        <w:jc w:val="both"/>
        <w:rPr>
          <w:rFonts w:ascii="Verdana" w:eastAsia="Verdana" w:hAnsi="Verdana" w:cs="Verdana"/>
        </w:rPr>
      </w:pPr>
      <w:r w:rsidRPr="00EA389A">
        <w:rPr>
          <w:rFonts w:ascii="Verdana" w:eastAsia="Verdana" w:hAnsi="Verdana" w:cs="Verdana"/>
        </w:rPr>
        <w:t>  </w:t>
      </w:r>
    </w:p>
    <w:p w14:paraId="5B401A9D" w14:textId="77777777" w:rsidR="006759FF" w:rsidRPr="00EA389A" w:rsidRDefault="006759FF" w:rsidP="000E2940">
      <w:pPr>
        <w:tabs>
          <w:tab w:val="left" w:pos="0"/>
        </w:tabs>
        <w:spacing w:after="0" w:line="240" w:lineRule="auto"/>
        <w:jc w:val="both"/>
        <w:rPr>
          <w:rFonts w:ascii="Verdana" w:eastAsia="Verdana" w:hAnsi="Verdana" w:cs="Verdana"/>
        </w:rPr>
      </w:pPr>
      <w:r w:rsidRPr="00EA389A">
        <w:rPr>
          <w:rFonts w:ascii="Verdana" w:eastAsia="Verdana" w:hAnsi="Verdana" w:cs="Verdana"/>
        </w:rPr>
        <w:t>4. Impartir directrices para los estudios específicos, revisiones y/o desarrollos metodológicos, así como para la utilización e interconexión de bases de datos y sistemas de información de las entidades responsables de la producción y administración de información para la GFP”. </w:t>
      </w:r>
    </w:p>
    <w:p w14:paraId="4549D3D9" w14:textId="77777777" w:rsidR="006759FF" w:rsidRPr="00EA389A" w:rsidRDefault="006759FF" w:rsidP="000E2940">
      <w:pPr>
        <w:tabs>
          <w:tab w:val="left" w:pos="0"/>
        </w:tabs>
        <w:spacing w:after="0" w:line="240" w:lineRule="auto"/>
        <w:jc w:val="both"/>
        <w:rPr>
          <w:rFonts w:ascii="Verdana" w:eastAsia="Verdana" w:hAnsi="Verdana" w:cs="Verdana"/>
        </w:rPr>
      </w:pPr>
    </w:p>
    <w:p w14:paraId="74287FD3" w14:textId="3B10C8DE" w:rsidR="004D3BE0" w:rsidRPr="00EA389A" w:rsidRDefault="006759FF" w:rsidP="000E2940">
      <w:pPr>
        <w:tabs>
          <w:tab w:val="left" w:pos="0"/>
        </w:tabs>
        <w:spacing w:after="0" w:line="240" w:lineRule="auto"/>
        <w:jc w:val="both"/>
        <w:rPr>
          <w:rFonts w:ascii="Verdana" w:eastAsia="Verdana" w:hAnsi="Verdana" w:cs="Verdana"/>
        </w:rPr>
      </w:pPr>
      <w:r w:rsidRPr="00EA389A">
        <w:rPr>
          <w:rFonts w:ascii="Verdana" w:eastAsia="Verdana" w:hAnsi="Verdana" w:cs="Verdana"/>
        </w:rPr>
        <w:t>La información reportada por las entidades contables públicas a la CGN,</w:t>
      </w:r>
      <w:r w:rsidR="00FE34B2" w:rsidRPr="00EA389A">
        <w:rPr>
          <w:rFonts w:ascii="Verdana" w:eastAsia="Verdana" w:hAnsi="Verdana" w:cs="Verdana"/>
        </w:rPr>
        <w:t xml:space="preserve"> a través de la categoría de Información Contable Pública - Convergencia (ICPC)</w:t>
      </w:r>
      <w:r w:rsidRPr="00EA389A">
        <w:rPr>
          <w:rFonts w:ascii="Verdana" w:eastAsia="Verdana" w:hAnsi="Verdana" w:cs="Verdana"/>
        </w:rPr>
        <w:t xml:space="preserve"> constituye uno de los principales insumos para la compilación de cifras del Sistema de Cuentas Nacionales (SCN) por parte del Departamento Administrativo Nacional de Estadística (DANE) y del Banco de la República (BR), así como para las Estadísticas de Finanzas Publicas (EFP) que elabora el Ministerio de Hacienda y Crédito Público (MHCP). </w:t>
      </w:r>
      <w:r w:rsidR="00995577" w:rsidRPr="00995577">
        <w:rPr>
          <w:rFonts w:ascii="Verdana" w:eastAsia="Verdana" w:hAnsi="Verdana" w:cs="Verdana"/>
        </w:rPr>
        <w:t>En línea con esto, la Dirección General de Política Macroeconómica (DGPM) del MHCP en su rol de Secretaría Técnica del Subcomité de Estadísticas de Finanzas Públicas de la CIIGFP, presentó a la CGN una propuesta de ajuste al reporte actual de variaciones significativas estableciendo unos criterios específicos para determinar cuándo una variación es significativa y solicitando modificar la periodicidad para el cálculo de la variación.</w:t>
      </w:r>
      <w:r w:rsidR="004D3BE0" w:rsidRPr="00EA389A">
        <w:rPr>
          <w:rFonts w:ascii="Verdana" w:eastAsia="Verdana" w:hAnsi="Verdana" w:cs="Verdana"/>
        </w:rPr>
        <w:t xml:space="preserve"> </w:t>
      </w:r>
    </w:p>
    <w:p w14:paraId="0C2DDF55" w14:textId="77777777" w:rsidR="006759FF" w:rsidRPr="00EA389A" w:rsidRDefault="006759FF" w:rsidP="000E2940">
      <w:pPr>
        <w:tabs>
          <w:tab w:val="left" w:pos="0"/>
        </w:tabs>
        <w:spacing w:after="0" w:line="240" w:lineRule="auto"/>
        <w:jc w:val="both"/>
        <w:rPr>
          <w:rFonts w:ascii="Verdana" w:eastAsia="Verdana" w:hAnsi="Verdana" w:cs="Verdana"/>
        </w:rPr>
      </w:pPr>
    </w:p>
    <w:p w14:paraId="45565711" w14:textId="685B445B" w:rsidR="002A694A" w:rsidRPr="00EA389A" w:rsidRDefault="00995577" w:rsidP="000E2940">
      <w:pPr>
        <w:tabs>
          <w:tab w:val="left" w:pos="0"/>
        </w:tabs>
        <w:spacing w:after="0" w:line="240" w:lineRule="auto"/>
        <w:jc w:val="both"/>
        <w:rPr>
          <w:rFonts w:ascii="Verdana" w:eastAsia="Verdana" w:hAnsi="Verdana" w:cs="Verdana"/>
        </w:rPr>
      </w:pPr>
      <w:bookmarkStart w:id="2" w:name="_Hlk161814710"/>
      <w:r w:rsidRPr="00995577">
        <w:rPr>
          <w:rFonts w:ascii="Verdana" w:eastAsia="Verdana" w:hAnsi="Verdana" w:cs="Verdana"/>
        </w:rPr>
        <w:t>Con el propósito de atender la solicitud de la CIIGFP, la CGN realizó mesas de trabajo con los solicitantes y al interior de la entidad considerando el impacto de la mencionada solicitud. Con base en los análisis realizados la CGN determinó la necesidad de crear un nuevo formulario para el reporte de información que atendiera al requerimiento específico de las entidades elaboradoras de estadísticas fiscales, integrando así el formulario CGN2025_005_CAMBIOS_RELEVANTES_ESTADISTICAS_GFP en el Procedimiento para la agregación de información, diligenciamiento y envío de los reportes de la categoría información contable pública - convergencia, a través del Sistema CHIP.</w:t>
      </w:r>
    </w:p>
    <w:bookmarkEnd w:id="1"/>
    <w:bookmarkEnd w:id="2"/>
    <w:p w14:paraId="5A6A4505" w14:textId="77777777" w:rsidR="00240042" w:rsidRPr="00EA389A" w:rsidRDefault="00240042" w:rsidP="000E2940">
      <w:pPr>
        <w:tabs>
          <w:tab w:val="left" w:pos="0"/>
        </w:tabs>
        <w:spacing w:after="0" w:line="240" w:lineRule="auto"/>
        <w:jc w:val="both"/>
        <w:rPr>
          <w:rFonts w:ascii="Verdana" w:eastAsia="Verdana" w:hAnsi="Verdana" w:cs="Verdana"/>
        </w:rPr>
      </w:pPr>
    </w:p>
    <w:p w14:paraId="36B70397" w14:textId="645C0A1A" w:rsidR="00240042" w:rsidRDefault="00240042" w:rsidP="000E2940">
      <w:pPr>
        <w:tabs>
          <w:tab w:val="left" w:pos="0"/>
        </w:tabs>
        <w:spacing w:after="0" w:line="240" w:lineRule="auto"/>
        <w:jc w:val="both"/>
        <w:rPr>
          <w:rFonts w:ascii="Verdana" w:eastAsia="Verdana" w:hAnsi="Verdana" w:cs="Verdana"/>
        </w:rPr>
      </w:pPr>
      <w:r w:rsidRPr="00EA389A">
        <w:rPr>
          <w:rFonts w:ascii="Verdana" w:eastAsia="Verdana" w:hAnsi="Verdana" w:cs="Verdana"/>
        </w:rPr>
        <w:t xml:space="preserve">Es necesario actualizar los requisitos, plazos y características de envío de la </w:t>
      </w:r>
      <w:r w:rsidR="005713D5">
        <w:rPr>
          <w:rFonts w:ascii="Verdana" w:eastAsia="Verdana" w:hAnsi="Verdana" w:cs="Verdana"/>
        </w:rPr>
        <w:t>i</w:t>
      </w:r>
      <w:r w:rsidRPr="00EA389A">
        <w:rPr>
          <w:rFonts w:ascii="Verdana" w:eastAsia="Verdana" w:hAnsi="Verdana" w:cs="Verdana"/>
        </w:rPr>
        <w:t xml:space="preserve">nformación por </w:t>
      </w:r>
      <w:r w:rsidRPr="00EA389A">
        <w:rPr>
          <w:rFonts w:ascii="Verdana" w:eastAsia="Verdana" w:hAnsi="Verdana" w:cs="Verdana"/>
        </w:rPr>
        <w:t>parte de las entidades públicas a la CGN, en concordancia con las actualizaciones realizadas a los marcos normativos y derogar las Resoluciones 411 de 2023 y 038 de 2024.</w:t>
      </w:r>
    </w:p>
    <w:p w14:paraId="1DE4A8BC" w14:textId="77777777" w:rsidR="00D31A3A" w:rsidRDefault="00D31A3A" w:rsidP="000E2940">
      <w:pPr>
        <w:tabs>
          <w:tab w:val="left" w:pos="0"/>
        </w:tabs>
        <w:spacing w:after="0" w:line="240" w:lineRule="auto"/>
        <w:jc w:val="both"/>
        <w:rPr>
          <w:rFonts w:ascii="Verdana" w:eastAsia="Verdana" w:hAnsi="Verdana" w:cs="Verdana"/>
        </w:rPr>
      </w:pPr>
    </w:p>
    <w:p w14:paraId="1F40EAE4" w14:textId="1776AD5F" w:rsidR="00D31A3A" w:rsidRPr="00EA389A" w:rsidRDefault="00D31A3A" w:rsidP="00D31A3A">
      <w:pPr>
        <w:tabs>
          <w:tab w:val="left" w:pos="0"/>
        </w:tabs>
        <w:spacing w:after="0" w:line="240" w:lineRule="auto"/>
        <w:jc w:val="both"/>
        <w:rPr>
          <w:rFonts w:ascii="Verdana" w:eastAsia="Verdana" w:hAnsi="Verdana" w:cs="Verdana"/>
        </w:rPr>
      </w:pPr>
      <w:r>
        <w:rPr>
          <w:rFonts w:ascii="Verdana" w:eastAsia="Verdana" w:hAnsi="Verdana" w:cs="Verdana"/>
        </w:rPr>
        <w:t xml:space="preserve">La CGN y los usuarios de la información </w:t>
      </w:r>
      <w:r>
        <w:rPr>
          <w:rFonts w:ascii="Verdana" w:eastAsia="Verdana" w:hAnsi="Verdana" w:cs="Verdana"/>
        </w:rPr>
        <w:t xml:space="preserve">financiera contemplados en los marcos normativos vigentes, requieren información de saldos, </w:t>
      </w:r>
      <w:r w:rsidR="00802D92">
        <w:rPr>
          <w:rFonts w:ascii="Verdana" w:eastAsia="Verdana" w:hAnsi="Verdana" w:cs="Verdana"/>
        </w:rPr>
        <w:t>movimientos, variaciones</w:t>
      </w:r>
      <w:r>
        <w:rPr>
          <w:rFonts w:ascii="Verdana" w:eastAsia="Verdana" w:hAnsi="Verdana" w:cs="Verdana"/>
        </w:rPr>
        <w:t xml:space="preserve"> significativas y cambios relevantes, que les permita utilizarla en sus procesos de análisis y toma de decisiones.</w:t>
      </w:r>
    </w:p>
    <w:p w14:paraId="642D3E2C" w14:textId="77777777" w:rsidR="00240042" w:rsidRPr="00EA389A" w:rsidRDefault="00240042" w:rsidP="000E2940">
      <w:pPr>
        <w:tabs>
          <w:tab w:val="left" w:pos="0"/>
        </w:tabs>
        <w:spacing w:after="0" w:line="240" w:lineRule="auto"/>
        <w:jc w:val="both"/>
        <w:rPr>
          <w:rFonts w:ascii="Verdana" w:eastAsia="Verdana" w:hAnsi="Verdana" w:cs="Verdana"/>
        </w:rPr>
      </w:pPr>
    </w:p>
    <w:p w14:paraId="1A234592" w14:textId="6E34152C" w:rsidR="00D76B9A" w:rsidRPr="00EA389A" w:rsidRDefault="00D76B9A" w:rsidP="000E2940">
      <w:pPr>
        <w:tabs>
          <w:tab w:val="left" w:pos="0"/>
        </w:tabs>
        <w:spacing w:after="0" w:line="240" w:lineRule="auto"/>
        <w:jc w:val="both"/>
        <w:rPr>
          <w:rFonts w:ascii="Verdana" w:eastAsia="Verdana" w:hAnsi="Verdana" w:cs="Verdana"/>
        </w:rPr>
      </w:pPr>
      <w:r w:rsidRPr="00EA389A">
        <w:rPr>
          <w:rFonts w:ascii="Verdana" w:eastAsia="Verdana" w:hAnsi="Verdana" w:cs="Verdana"/>
        </w:rPr>
        <w:t>Por lo anterior, es pertinente establecer la información a reportar por parte de las entidades públicas, los requisitos para dicha transmisión, así como los plazos y características de envío a la CGN.</w:t>
      </w:r>
    </w:p>
    <w:p w14:paraId="06131A8F" w14:textId="77777777" w:rsidR="00240042" w:rsidRPr="00EA389A" w:rsidRDefault="00240042" w:rsidP="000E2940">
      <w:pPr>
        <w:tabs>
          <w:tab w:val="left" w:pos="0"/>
        </w:tabs>
        <w:spacing w:after="0" w:line="240" w:lineRule="auto"/>
        <w:jc w:val="both"/>
        <w:rPr>
          <w:rFonts w:ascii="Verdana" w:eastAsia="Verdana" w:hAnsi="Verdana" w:cs="Verdana"/>
        </w:rPr>
      </w:pPr>
    </w:p>
    <w:p w14:paraId="7C723864" w14:textId="6B7822E8" w:rsidR="0062373C" w:rsidRPr="00EA389A" w:rsidRDefault="0062373C" w:rsidP="000E2940">
      <w:pPr>
        <w:tabs>
          <w:tab w:val="left" w:pos="0"/>
        </w:tabs>
        <w:spacing w:after="0" w:line="240" w:lineRule="auto"/>
        <w:jc w:val="both"/>
        <w:rPr>
          <w:rFonts w:ascii="Verdana" w:eastAsia="Verdana" w:hAnsi="Verdana" w:cs="Verdana"/>
        </w:rPr>
      </w:pPr>
      <w:r w:rsidRPr="00EA389A">
        <w:rPr>
          <w:rFonts w:ascii="Verdana" w:eastAsia="Verdana" w:hAnsi="Verdana" w:cs="Verdana"/>
        </w:rPr>
        <w:t>En mérito de lo expuesto,</w:t>
      </w:r>
    </w:p>
    <w:p w14:paraId="3A9F5619" w14:textId="77777777" w:rsidR="0062373C" w:rsidRPr="00EA389A" w:rsidRDefault="0062373C" w:rsidP="000E2940">
      <w:pPr>
        <w:tabs>
          <w:tab w:val="left" w:pos="0"/>
        </w:tabs>
        <w:spacing w:after="0" w:line="240" w:lineRule="auto"/>
        <w:jc w:val="both"/>
        <w:rPr>
          <w:rFonts w:ascii="Verdana" w:eastAsia="Verdana" w:hAnsi="Verdana" w:cs="Verdana"/>
        </w:rPr>
      </w:pPr>
    </w:p>
    <w:p w14:paraId="0338DBF0" w14:textId="77777777" w:rsidR="0062373C" w:rsidRPr="00EA389A" w:rsidRDefault="0062373C" w:rsidP="000E2940">
      <w:pPr>
        <w:spacing w:after="0" w:line="240" w:lineRule="auto"/>
        <w:jc w:val="center"/>
        <w:rPr>
          <w:rFonts w:ascii="Verdana" w:hAnsi="Verdana"/>
          <w:b/>
          <w:bCs/>
        </w:rPr>
      </w:pPr>
      <w:r w:rsidRPr="00EA389A">
        <w:rPr>
          <w:rFonts w:ascii="Verdana" w:hAnsi="Verdana"/>
          <w:b/>
          <w:bCs/>
        </w:rPr>
        <w:t>RESUELVE:</w:t>
      </w:r>
    </w:p>
    <w:p w14:paraId="1C15386B" w14:textId="77777777" w:rsidR="0062373C" w:rsidRPr="00EA389A" w:rsidRDefault="0062373C" w:rsidP="000E2940">
      <w:pPr>
        <w:spacing w:after="0" w:line="240" w:lineRule="auto"/>
        <w:jc w:val="center"/>
        <w:rPr>
          <w:rFonts w:ascii="Verdana" w:hAnsi="Verdana"/>
          <w:b/>
          <w:bCs/>
        </w:rPr>
      </w:pPr>
    </w:p>
    <w:p w14:paraId="256C866C" w14:textId="75221192" w:rsidR="009812DE" w:rsidRPr="00EA389A" w:rsidRDefault="009812DE" w:rsidP="000E2940">
      <w:pPr>
        <w:spacing w:after="0" w:line="240" w:lineRule="auto"/>
        <w:jc w:val="center"/>
        <w:rPr>
          <w:rFonts w:ascii="Verdana" w:hAnsi="Verdana"/>
          <w:b/>
          <w:bCs/>
        </w:rPr>
      </w:pPr>
      <w:r w:rsidRPr="00EA389A">
        <w:rPr>
          <w:rFonts w:ascii="Verdana" w:hAnsi="Verdana"/>
          <w:b/>
          <w:bCs/>
        </w:rPr>
        <w:t>CAPITULO I</w:t>
      </w:r>
    </w:p>
    <w:p w14:paraId="4F6DB546" w14:textId="77777777" w:rsidR="009812DE" w:rsidRPr="00EA389A" w:rsidRDefault="009812DE" w:rsidP="000E2940">
      <w:pPr>
        <w:spacing w:after="0" w:line="240" w:lineRule="auto"/>
        <w:jc w:val="center"/>
        <w:rPr>
          <w:rFonts w:ascii="Verdana" w:hAnsi="Verdana"/>
          <w:b/>
          <w:bCs/>
        </w:rPr>
      </w:pPr>
    </w:p>
    <w:p w14:paraId="3ED028AE" w14:textId="77777777" w:rsidR="009812DE" w:rsidRPr="00EA389A" w:rsidRDefault="009812DE" w:rsidP="000E2940">
      <w:pPr>
        <w:spacing w:after="0" w:line="240" w:lineRule="auto"/>
        <w:jc w:val="center"/>
        <w:rPr>
          <w:rFonts w:ascii="Verdana" w:hAnsi="Verdana"/>
          <w:b/>
          <w:bCs/>
        </w:rPr>
      </w:pPr>
      <w:r w:rsidRPr="00EA389A">
        <w:rPr>
          <w:rFonts w:ascii="Verdana" w:hAnsi="Verdana"/>
          <w:b/>
          <w:bCs/>
        </w:rPr>
        <w:t>ASPECTOS GENERALES</w:t>
      </w:r>
    </w:p>
    <w:p w14:paraId="6E652C37" w14:textId="77777777" w:rsidR="00A80A8F" w:rsidRPr="00EA389A" w:rsidRDefault="00A80A8F" w:rsidP="000E2940">
      <w:pPr>
        <w:spacing w:after="0" w:line="240" w:lineRule="auto"/>
        <w:jc w:val="both"/>
        <w:rPr>
          <w:rFonts w:ascii="Verdana" w:hAnsi="Verdana"/>
          <w:b/>
          <w:bCs/>
        </w:rPr>
      </w:pPr>
    </w:p>
    <w:p w14:paraId="13DA221C" w14:textId="632D846B" w:rsidR="009812DE" w:rsidRPr="00EA389A" w:rsidRDefault="009812DE" w:rsidP="000E2940">
      <w:pPr>
        <w:spacing w:after="0" w:line="240" w:lineRule="auto"/>
        <w:jc w:val="both"/>
        <w:rPr>
          <w:rFonts w:ascii="Verdana" w:hAnsi="Verdana"/>
        </w:rPr>
      </w:pPr>
      <w:r w:rsidRPr="00EA389A">
        <w:rPr>
          <w:rFonts w:ascii="Verdana" w:hAnsi="Verdana"/>
          <w:b/>
          <w:bCs/>
        </w:rPr>
        <w:t>ARTÍCULO 1°.</w:t>
      </w:r>
      <w:r w:rsidRPr="00EA389A">
        <w:rPr>
          <w:rFonts w:ascii="Verdana" w:hAnsi="Verdana"/>
        </w:rPr>
        <w:t xml:space="preserve"> </w:t>
      </w:r>
      <w:r w:rsidR="009100CC" w:rsidRPr="00EA389A">
        <w:rPr>
          <w:rFonts w:ascii="Verdana" w:hAnsi="Verdana"/>
          <w:b/>
          <w:bCs/>
        </w:rPr>
        <w:t>ÁMBITO</w:t>
      </w:r>
      <w:r w:rsidRPr="00EA389A">
        <w:rPr>
          <w:rFonts w:ascii="Verdana" w:hAnsi="Verdana"/>
          <w:b/>
          <w:bCs/>
        </w:rPr>
        <w:t xml:space="preserve"> DE APLICACIÓN.</w:t>
      </w:r>
      <w:r w:rsidRPr="00EA389A">
        <w:rPr>
          <w:rFonts w:ascii="Verdana" w:hAnsi="Verdana"/>
        </w:rPr>
        <w:t xml:space="preserve"> La información, requisitos, plazos y características que se establecen en la presente resolución, son de obligatorio cumplimiento para las entidades públicas sujetas al ámbito de aplicación del</w:t>
      </w:r>
      <w:r w:rsidR="000D408B" w:rsidRPr="00EA389A">
        <w:rPr>
          <w:rFonts w:ascii="Verdana" w:hAnsi="Verdana"/>
        </w:rPr>
        <w:t xml:space="preserve"> </w:t>
      </w:r>
      <w:r w:rsidRPr="00EA389A">
        <w:rPr>
          <w:rFonts w:ascii="Verdana" w:hAnsi="Verdana"/>
        </w:rPr>
        <w:t>RCP.</w:t>
      </w:r>
    </w:p>
    <w:p w14:paraId="325B395B" w14:textId="77777777" w:rsidR="009812DE" w:rsidRPr="00EA389A" w:rsidRDefault="009812DE" w:rsidP="000E2940">
      <w:pPr>
        <w:spacing w:after="0" w:line="240" w:lineRule="auto"/>
        <w:jc w:val="both"/>
        <w:rPr>
          <w:rFonts w:ascii="Verdana" w:hAnsi="Verdana"/>
        </w:rPr>
      </w:pPr>
    </w:p>
    <w:p w14:paraId="70B41FD6" w14:textId="7196742D" w:rsidR="009812DE" w:rsidRPr="00EA389A" w:rsidRDefault="009812DE" w:rsidP="000E2940">
      <w:pPr>
        <w:spacing w:after="0" w:line="240" w:lineRule="auto"/>
        <w:jc w:val="both"/>
        <w:rPr>
          <w:rFonts w:ascii="Verdana" w:hAnsi="Verdana"/>
        </w:rPr>
      </w:pPr>
      <w:r w:rsidRPr="00EA389A">
        <w:rPr>
          <w:rFonts w:ascii="Verdana" w:hAnsi="Verdana"/>
          <w:b/>
          <w:bCs/>
        </w:rPr>
        <w:t>ARTÍCULO 2°.</w:t>
      </w:r>
      <w:r w:rsidRPr="00EA389A">
        <w:rPr>
          <w:rFonts w:ascii="Verdana" w:hAnsi="Verdana"/>
        </w:rPr>
        <w:t xml:space="preserve"> </w:t>
      </w:r>
      <w:r w:rsidRPr="00EA389A">
        <w:rPr>
          <w:rFonts w:ascii="Verdana" w:hAnsi="Verdana"/>
          <w:b/>
          <w:bCs/>
        </w:rPr>
        <w:t>CA</w:t>
      </w:r>
      <w:r w:rsidR="00F540C1" w:rsidRPr="00EA389A">
        <w:rPr>
          <w:rFonts w:ascii="Verdana" w:hAnsi="Verdana"/>
          <w:b/>
          <w:bCs/>
        </w:rPr>
        <w:t>TEGOR</w:t>
      </w:r>
      <w:r w:rsidR="00471331" w:rsidRPr="00EA389A">
        <w:rPr>
          <w:rFonts w:ascii="Verdana" w:hAnsi="Verdana"/>
          <w:b/>
          <w:bCs/>
        </w:rPr>
        <w:t>Í</w:t>
      </w:r>
      <w:r w:rsidR="00F540C1" w:rsidRPr="00EA389A">
        <w:rPr>
          <w:rFonts w:ascii="Verdana" w:hAnsi="Verdana"/>
          <w:b/>
          <w:bCs/>
        </w:rPr>
        <w:t xml:space="preserve">AS </w:t>
      </w:r>
      <w:r w:rsidRPr="00EA389A">
        <w:rPr>
          <w:rFonts w:ascii="Verdana" w:hAnsi="Verdana"/>
          <w:b/>
          <w:bCs/>
        </w:rPr>
        <w:t>DE INFORMACI</w:t>
      </w:r>
      <w:r w:rsidR="00471331" w:rsidRPr="00EA389A">
        <w:rPr>
          <w:rFonts w:ascii="Verdana" w:hAnsi="Verdana"/>
          <w:b/>
          <w:bCs/>
        </w:rPr>
        <w:t>Ó</w:t>
      </w:r>
      <w:r w:rsidRPr="00EA389A">
        <w:rPr>
          <w:rFonts w:ascii="Verdana" w:hAnsi="Verdana"/>
          <w:b/>
          <w:bCs/>
        </w:rPr>
        <w:t xml:space="preserve">N A REPORTAR. </w:t>
      </w:r>
      <w:r w:rsidRPr="00EA389A">
        <w:rPr>
          <w:rFonts w:ascii="Verdana" w:hAnsi="Verdana"/>
        </w:rPr>
        <w:t xml:space="preserve">Se definen las siguientes categorías de información para el reporte a la CGN: Información Contable Pública – </w:t>
      </w:r>
      <w:r w:rsidR="0062373C" w:rsidRPr="00EA389A">
        <w:rPr>
          <w:rFonts w:ascii="Verdana" w:hAnsi="Verdana"/>
        </w:rPr>
        <w:t>C</w:t>
      </w:r>
      <w:r w:rsidRPr="00EA389A">
        <w:rPr>
          <w:rFonts w:ascii="Verdana" w:hAnsi="Verdana"/>
        </w:rPr>
        <w:t>onvergencia (ICPC); Evaluación de Control Interno Contable (ECIC); y, Boletín de Deudores Morosos del Estado (BDME).</w:t>
      </w:r>
    </w:p>
    <w:p w14:paraId="49365565" w14:textId="77777777" w:rsidR="009812DE" w:rsidRPr="00EA389A" w:rsidRDefault="009812DE" w:rsidP="000E2940">
      <w:pPr>
        <w:spacing w:after="0" w:line="240" w:lineRule="auto"/>
        <w:jc w:val="both"/>
        <w:rPr>
          <w:rFonts w:ascii="Verdana" w:hAnsi="Verdana"/>
        </w:rPr>
      </w:pPr>
    </w:p>
    <w:p w14:paraId="4476D8E3" w14:textId="17D582C0" w:rsidR="009812DE" w:rsidRPr="00EA389A" w:rsidRDefault="009812DE" w:rsidP="000E2940">
      <w:pPr>
        <w:spacing w:after="0" w:line="240" w:lineRule="auto"/>
        <w:jc w:val="both"/>
        <w:rPr>
          <w:rFonts w:ascii="Verdana" w:hAnsi="Verdana"/>
        </w:rPr>
      </w:pPr>
      <w:r w:rsidRPr="00EA389A">
        <w:rPr>
          <w:rFonts w:ascii="Verdana" w:hAnsi="Verdana"/>
          <w:b/>
          <w:bCs/>
        </w:rPr>
        <w:t>ARTÍCULO 3°.</w:t>
      </w:r>
      <w:r w:rsidRPr="00EA389A">
        <w:rPr>
          <w:rFonts w:ascii="Verdana" w:hAnsi="Verdana"/>
        </w:rPr>
        <w:t xml:space="preserve"> </w:t>
      </w:r>
      <w:r w:rsidRPr="00EA389A">
        <w:rPr>
          <w:rFonts w:ascii="Verdana" w:hAnsi="Verdana"/>
          <w:b/>
          <w:bCs/>
        </w:rPr>
        <w:t xml:space="preserve">MEDIO DE PRESENTACIÓN. </w:t>
      </w:r>
      <w:r w:rsidR="00F540C1" w:rsidRPr="00EA389A">
        <w:rPr>
          <w:rFonts w:ascii="Verdana" w:hAnsi="Verdana"/>
        </w:rPr>
        <w:t>El Sistema Consolidador de Hacienda e Información Pública (CHIP) es el único medio de reporte oficial de las categorías enunciadas en el artículo 2° de la presente resolución.</w:t>
      </w:r>
    </w:p>
    <w:p w14:paraId="1E6B4419" w14:textId="77777777" w:rsidR="009812DE" w:rsidRPr="00EA389A" w:rsidRDefault="009812DE" w:rsidP="000E2940">
      <w:pPr>
        <w:spacing w:after="0" w:line="240" w:lineRule="auto"/>
        <w:jc w:val="both"/>
        <w:rPr>
          <w:rFonts w:ascii="Verdana" w:hAnsi="Verdana"/>
        </w:rPr>
      </w:pPr>
    </w:p>
    <w:p w14:paraId="14203F70" w14:textId="77777777" w:rsidR="009812DE" w:rsidRPr="00EA389A" w:rsidRDefault="009812DE" w:rsidP="000E2940">
      <w:pPr>
        <w:spacing w:after="0" w:line="240" w:lineRule="auto"/>
        <w:jc w:val="both"/>
        <w:rPr>
          <w:rFonts w:ascii="Verdana" w:hAnsi="Verdana"/>
        </w:rPr>
      </w:pPr>
      <w:r w:rsidRPr="00EA389A">
        <w:rPr>
          <w:rFonts w:ascii="Verdana" w:hAnsi="Verdana"/>
          <w:b/>
          <w:bCs/>
        </w:rPr>
        <w:t>ARTÍCULO 4°.</w:t>
      </w:r>
      <w:r w:rsidRPr="00EA389A">
        <w:rPr>
          <w:rFonts w:ascii="Verdana" w:hAnsi="Verdana"/>
        </w:rPr>
        <w:t xml:space="preserve"> </w:t>
      </w:r>
      <w:r w:rsidRPr="00EA389A">
        <w:rPr>
          <w:rFonts w:ascii="Verdana" w:hAnsi="Verdana"/>
          <w:b/>
          <w:bCs/>
        </w:rPr>
        <w:t xml:space="preserve">RESPONSABLES. </w:t>
      </w:r>
      <w:r w:rsidRPr="00EA389A">
        <w:rPr>
          <w:rFonts w:ascii="Verdana" w:hAnsi="Verdana"/>
        </w:rPr>
        <w:t>El representante legal y el contador público que tenga a su cargo la contabilidad de la entidad y en los casos que aplique, el revisor fiscal, serán responsables por el cumplimiento de las obligaciones relacionadas con los requisitos, plazos y características para el reporte de la información a la CGN.</w:t>
      </w:r>
    </w:p>
    <w:p w14:paraId="342E62B0" w14:textId="77777777" w:rsidR="009812DE" w:rsidRPr="00EA389A" w:rsidRDefault="009812DE" w:rsidP="000E2940">
      <w:pPr>
        <w:spacing w:after="0" w:line="240" w:lineRule="auto"/>
        <w:jc w:val="both"/>
        <w:rPr>
          <w:rFonts w:ascii="Verdana" w:hAnsi="Verdana"/>
        </w:rPr>
      </w:pPr>
    </w:p>
    <w:p w14:paraId="728CB9D9" w14:textId="77777777" w:rsidR="009812DE" w:rsidRPr="00EA389A" w:rsidRDefault="009812DE" w:rsidP="000E2940">
      <w:pPr>
        <w:spacing w:after="0" w:line="240" w:lineRule="auto"/>
        <w:jc w:val="both"/>
        <w:rPr>
          <w:rFonts w:ascii="Verdana" w:hAnsi="Verdana"/>
        </w:rPr>
      </w:pPr>
      <w:r w:rsidRPr="00EA389A">
        <w:rPr>
          <w:rFonts w:ascii="Verdana" w:hAnsi="Verdana"/>
        </w:rPr>
        <w:t>La responsabilidad del contador público se circunscribe a las normas que al respecto establece la Ley 43 de 1990, el Decreto 2420 de 2015 y demás normas vigentes que le apliquen.</w:t>
      </w:r>
    </w:p>
    <w:p w14:paraId="1BC2B7B7" w14:textId="77777777" w:rsidR="009812DE" w:rsidRPr="00EA389A" w:rsidRDefault="009812DE" w:rsidP="000E2940">
      <w:pPr>
        <w:spacing w:after="0" w:line="240" w:lineRule="auto"/>
        <w:jc w:val="both"/>
        <w:rPr>
          <w:rFonts w:ascii="Verdana" w:hAnsi="Verdana"/>
        </w:rPr>
      </w:pPr>
    </w:p>
    <w:p w14:paraId="180EA0F4" w14:textId="77777777" w:rsidR="009812DE" w:rsidRPr="00EA389A" w:rsidRDefault="009812DE" w:rsidP="000E2940">
      <w:pPr>
        <w:spacing w:after="0" w:line="240" w:lineRule="auto"/>
        <w:jc w:val="both"/>
        <w:rPr>
          <w:rFonts w:ascii="Verdana" w:hAnsi="Verdana"/>
        </w:rPr>
      </w:pPr>
      <w:r w:rsidRPr="00EA389A">
        <w:rPr>
          <w:rFonts w:ascii="Verdana" w:hAnsi="Verdana"/>
        </w:rPr>
        <w:t>La responsabilidad del revisor fiscal se circunscribe a las normas que al respecto están integradas en el Código de Comercio, la Ley 43 de 1990, la Resolución 172 de 2023 expedida por la CGN, los estatutos de la entidad a la cual está vinculado y las demás normas vigentes que le apliquen.</w:t>
      </w:r>
    </w:p>
    <w:p w14:paraId="04417055" w14:textId="77777777" w:rsidR="009812DE" w:rsidRPr="00EA389A" w:rsidRDefault="009812DE" w:rsidP="000E2940">
      <w:pPr>
        <w:spacing w:after="0" w:line="240" w:lineRule="auto"/>
        <w:jc w:val="both"/>
        <w:rPr>
          <w:rFonts w:ascii="Verdana" w:hAnsi="Verdana"/>
        </w:rPr>
      </w:pPr>
    </w:p>
    <w:p w14:paraId="5D7F2F7D" w14:textId="43041BC1" w:rsidR="009812DE" w:rsidRPr="00EA389A" w:rsidRDefault="009812DE" w:rsidP="000E2940">
      <w:pPr>
        <w:spacing w:after="0" w:line="240" w:lineRule="auto"/>
        <w:jc w:val="both"/>
        <w:rPr>
          <w:rFonts w:ascii="Verdana" w:hAnsi="Verdana"/>
        </w:rPr>
      </w:pPr>
      <w:r w:rsidRPr="00EA389A">
        <w:rPr>
          <w:rFonts w:ascii="Verdana" w:hAnsi="Verdana"/>
        </w:rPr>
        <w:t xml:space="preserve">El reporte del informe ECIC, es responsabilidad del </w:t>
      </w:r>
      <w:r w:rsidR="00967935">
        <w:rPr>
          <w:rFonts w:ascii="Verdana" w:hAnsi="Verdana"/>
        </w:rPr>
        <w:t>r</w:t>
      </w:r>
      <w:r w:rsidRPr="00EA389A">
        <w:rPr>
          <w:rFonts w:ascii="Verdana" w:hAnsi="Verdana"/>
        </w:rPr>
        <w:t xml:space="preserve">epresentante </w:t>
      </w:r>
      <w:r w:rsidR="00967935">
        <w:rPr>
          <w:rFonts w:ascii="Verdana" w:hAnsi="Verdana"/>
        </w:rPr>
        <w:t>l</w:t>
      </w:r>
      <w:r w:rsidRPr="00EA389A">
        <w:rPr>
          <w:rFonts w:ascii="Verdana" w:hAnsi="Verdana"/>
        </w:rPr>
        <w:t xml:space="preserve">egal de la entidad y del </w:t>
      </w:r>
      <w:r w:rsidR="00967935">
        <w:rPr>
          <w:rFonts w:ascii="Verdana" w:hAnsi="Verdana"/>
        </w:rPr>
        <w:t>j</w:t>
      </w:r>
      <w:r w:rsidRPr="00EA389A">
        <w:rPr>
          <w:rFonts w:ascii="Verdana" w:hAnsi="Verdana"/>
        </w:rPr>
        <w:t xml:space="preserve">efe de la oficina de control interno o quien haga sus veces, de conformidad con el </w:t>
      </w:r>
      <w:r w:rsidR="007C7499">
        <w:rPr>
          <w:rFonts w:ascii="Verdana" w:hAnsi="Verdana"/>
        </w:rPr>
        <w:t>P</w:t>
      </w:r>
      <w:r w:rsidRPr="00EA389A">
        <w:rPr>
          <w:rFonts w:ascii="Verdana" w:hAnsi="Verdana"/>
        </w:rPr>
        <w:t xml:space="preserve">rocedimiento </w:t>
      </w:r>
      <w:r w:rsidR="007C7499">
        <w:rPr>
          <w:rFonts w:ascii="Verdana" w:hAnsi="Verdana"/>
        </w:rPr>
        <w:t>T</w:t>
      </w:r>
      <w:r w:rsidRPr="00EA389A">
        <w:rPr>
          <w:rFonts w:ascii="Verdana" w:hAnsi="Verdana"/>
        </w:rPr>
        <w:t xml:space="preserve">ransversal para la </w:t>
      </w:r>
      <w:r w:rsidR="007C7499">
        <w:rPr>
          <w:rFonts w:ascii="Verdana" w:hAnsi="Verdana"/>
        </w:rPr>
        <w:t>E</w:t>
      </w:r>
      <w:r w:rsidRPr="00EA389A">
        <w:rPr>
          <w:rFonts w:ascii="Verdana" w:hAnsi="Verdana"/>
        </w:rPr>
        <w:t xml:space="preserve">valuación de </w:t>
      </w:r>
      <w:r w:rsidR="007C7499">
        <w:rPr>
          <w:rFonts w:ascii="Verdana" w:hAnsi="Verdana"/>
        </w:rPr>
        <w:t>C</w:t>
      </w:r>
      <w:r w:rsidRPr="00EA389A">
        <w:rPr>
          <w:rFonts w:ascii="Verdana" w:hAnsi="Verdana"/>
        </w:rPr>
        <w:t xml:space="preserve">ontrol </w:t>
      </w:r>
      <w:r w:rsidR="007C7499">
        <w:rPr>
          <w:rFonts w:ascii="Verdana" w:hAnsi="Verdana"/>
        </w:rPr>
        <w:t>I</w:t>
      </w:r>
      <w:r w:rsidRPr="00EA389A">
        <w:rPr>
          <w:rFonts w:ascii="Verdana" w:hAnsi="Verdana"/>
        </w:rPr>
        <w:t xml:space="preserve">nterno </w:t>
      </w:r>
      <w:r w:rsidR="007C7499">
        <w:rPr>
          <w:rFonts w:ascii="Verdana" w:hAnsi="Verdana"/>
        </w:rPr>
        <w:t>C</w:t>
      </w:r>
      <w:r w:rsidRPr="00EA389A">
        <w:rPr>
          <w:rFonts w:ascii="Verdana" w:hAnsi="Verdana"/>
        </w:rPr>
        <w:t>ontable.</w:t>
      </w:r>
    </w:p>
    <w:p w14:paraId="734DBA9B" w14:textId="77777777" w:rsidR="009812DE" w:rsidRPr="00EA389A" w:rsidRDefault="009812DE" w:rsidP="000E2940">
      <w:pPr>
        <w:spacing w:after="0" w:line="240" w:lineRule="auto"/>
        <w:jc w:val="both"/>
        <w:rPr>
          <w:rFonts w:ascii="Verdana" w:hAnsi="Verdana"/>
        </w:rPr>
      </w:pPr>
    </w:p>
    <w:p w14:paraId="07FCB13E" w14:textId="0461D5A7" w:rsidR="009812DE" w:rsidRPr="00EA389A" w:rsidRDefault="009812DE" w:rsidP="000E2940">
      <w:pPr>
        <w:spacing w:after="0" w:line="240" w:lineRule="auto"/>
        <w:jc w:val="both"/>
        <w:rPr>
          <w:rFonts w:ascii="Verdana" w:hAnsi="Verdana"/>
        </w:rPr>
      </w:pPr>
      <w:r w:rsidRPr="00EA389A">
        <w:rPr>
          <w:rFonts w:ascii="Verdana" w:hAnsi="Verdana"/>
          <w:b/>
          <w:bCs/>
        </w:rPr>
        <w:t>ARTÍCULO 5°.</w:t>
      </w:r>
      <w:r w:rsidRPr="00EA389A">
        <w:rPr>
          <w:rFonts w:ascii="Verdana" w:hAnsi="Verdana"/>
        </w:rPr>
        <w:t xml:space="preserve"> </w:t>
      </w:r>
      <w:r w:rsidR="00F540C1" w:rsidRPr="00EA389A">
        <w:rPr>
          <w:rFonts w:ascii="Verdana" w:hAnsi="Verdana"/>
          <w:b/>
          <w:bCs/>
        </w:rPr>
        <w:t>C</w:t>
      </w:r>
      <w:r w:rsidRPr="00EA389A">
        <w:rPr>
          <w:rFonts w:ascii="Verdana" w:hAnsi="Verdana"/>
          <w:b/>
          <w:bCs/>
        </w:rPr>
        <w:t>ATEGOR</w:t>
      </w:r>
      <w:r w:rsidR="00471331" w:rsidRPr="00EA389A">
        <w:rPr>
          <w:rFonts w:ascii="Verdana" w:hAnsi="Verdana"/>
          <w:b/>
          <w:bCs/>
        </w:rPr>
        <w:t>Í</w:t>
      </w:r>
      <w:r w:rsidRPr="00EA389A">
        <w:rPr>
          <w:rFonts w:ascii="Verdana" w:hAnsi="Verdana"/>
          <w:b/>
          <w:bCs/>
        </w:rPr>
        <w:t>A INFORMACI</w:t>
      </w:r>
      <w:r w:rsidR="00471331" w:rsidRPr="00EA389A">
        <w:rPr>
          <w:rFonts w:ascii="Verdana" w:hAnsi="Verdana"/>
          <w:b/>
          <w:bCs/>
        </w:rPr>
        <w:t>Ó</w:t>
      </w:r>
      <w:r w:rsidRPr="00EA389A">
        <w:rPr>
          <w:rFonts w:ascii="Verdana" w:hAnsi="Verdana"/>
          <w:b/>
          <w:bCs/>
        </w:rPr>
        <w:t xml:space="preserve">N CONTABLE </w:t>
      </w:r>
      <w:r w:rsidR="00F540C1" w:rsidRPr="00EA389A">
        <w:rPr>
          <w:rFonts w:ascii="Verdana" w:hAnsi="Verdana"/>
          <w:b/>
          <w:bCs/>
        </w:rPr>
        <w:t>PÚBLICA</w:t>
      </w:r>
      <w:r w:rsidRPr="00EA389A">
        <w:rPr>
          <w:rFonts w:ascii="Verdana" w:hAnsi="Verdana"/>
          <w:b/>
          <w:bCs/>
        </w:rPr>
        <w:t xml:space="preserve"> – CONVERGENCIA (ICPC). </w:t>
      </w:r>
      <w:r w:rsidRPr="00EA389A">
        <w:rPr>
          <w:rFonts w:ascii="Verdana" w:hAnsi="Verdana"/>
        </w:rPr>
        <w:t>Esta categoría se relaciona con la información financiera de carácter contable que reportan las entidades púbicas a la CGN respecto a los saldos y movimientos, operaciones recíprocas</w:t>
      </w:r>
      <w:r w:rsidR="00F540C1" w:rsidRPr="00EA389A">
        <w:rPr>
          <w:rFonts w:ascii="Verdana" w:hAnsi="Verdana"/>
        </w:rPr>
        <w:t xml:space="preserve">, </w:t>
      </w:r>
      <w:r w:rsidRPr="00EA389A">
        <w:rPr>
          <w:rFonts w:ascii="Verdana" w:hAnsi="Verdana"/>
        </w:rPr>
        <w:t xml:space="preserve">variaciones trimestrales significativas </w:t>
      </w:r>
      <w:r w:rsidR="00F540C1" w:rsidRPr="00EA389A">
        <w:rPr>
          <w:rFonts w:ascii="Verdana" w:hAnsi="Verdana"/>
        </w:rPr>
        <w:t>y cambios relevantes</w:t>
      </w:r>
      <w:r w:rsidR="000704AA">
        <w:rPr>
          <w:rFonts w:ascii="Verdana" w:hAnsi="Verdana"/>
        </w:rPr>
        <w:t xml:space="preserve"> GFP</w:t>
      </w:r>
      <w:r w:rsidR="00F540C1" w:rsidRPr="00EA389A">
        <w:rPr>
          <w:rFonts w:ascii="Verdana" w:hAnsi="Verdana"/>
        </w:rPr>
        <w:t xml:space="preserve">, </w:t>
      </w:r>
      <w:r w:rsidRPr="00EA389A">
        <w:rPr>
          <w:rFonts w:ascii="Verdana" w:hAnsi="Verdana"/>
        </w:rPr>
        <w:t>en aplicación de los marcos normativos vigentes.</w:t>
      </w:r>
    </w:p>
    <w:p w14:paraId="04283E6A" w14:textId="77777777" w:rsidR="009812DE" w:rsidRPr="00EA389A" w:rsidRDefault="009812DE" w:rsidP="000E2940">
      <w:pPr>
        <w:spacing w:after="0" w:line="240" w:lineRule="auto"/>
        <w:jc w:val="both"/>
        <w:rPr>
          <w:rFonts w:ascii="Verdana" w:hAnsi="Verdana"/>
        </w:rPr>
      </w:pPr>
    </w:p>
    <w:p w14:paraId="16EF2667" w14:textId="38F68EA4" w:rsidR="009812DE" w:rsidRPr="00EA389A" w:rsidRDefault="009812DE" w:rsidP="000E2940">
      <w:pPr>
        <w:spacing w:after="0" w:line="240" w:lineRule="auto"/>
        <w:jc w:val="both"/>
        <w:rPr>
          <w:rFonts w:ascii="Verdana" w:hAnsi="Verdana"/>
        </w:rPr>
      </w:pPr>
      <w:r w:rsidRPr="00EA389A">
        <w:rPr>
          <w:rFonts w:ascii="Verdana" w:hAnsi="Verdana"/>
          <w:b/>
          <w:bCs/>
        </w:rPr>
        <w:t xml:space="preserve">ARTÍCULO 6°. FORMULARIOS DE LA CATEGORÍA ICPC. </w:t>
      </w:r>
      <w:r w:rsidRPr="00EA389A">
        <w:rPr>
          <w:rFonts w:ascii="Verdana" w:hAnsi="Verdana"/>
        </w:rPr>
        <w:t>Son l</w:t>
      </w:r>
      <w:r w:rsidR="00DB6E01">
        <w:rPr>
          <w:rFonts w:ascii="Verdana" w:hAnsi="Verdana"/>
        </w:rPr>
        <w:t xml:space="preserve">as diferentes </w:t>
      </w:r>
      <w:r w:rsidR="003113A2">
        <w:rPr>
          <w:rFonts w:ascii="Verdana" w:hAnsi="Verdana"/>
        </w:rPr>
        <w:t>plantillas</w:t>
      </w:r>
      <w:r w:rsidR="00DB6E01">
        <w:rPr>
          <w:rFonts w:ascii="Verdana" w:hAnsi="Verdana"/>
        </w:rPr>
        <w:t xml:space="preserve"> de presentación de la categoría </w:t>
      </w:r>
      <w:r w:rsidRPr="00EA389A">
        <w:rPr>
          <w:rFonts w:ascii="Verdana" w:hAnsi="Verdana"/>
        </w:rPr>
        <w:t>a través de l</w:t>
      </w:r>
      <w:r w:rsidR="00DB6E01">
        <w:rPr>
          <w:rFonts w:ascii="Verdana" w:hAnsi="Verdana"/>
        </w:rPr>
        <w:t>a</w:t>
      </w:r>
      <w:r w:rsidRPr="00EA389A">
        <w:rPr>
          <w:rFonts w:ascii="Verdana" w:hAnsi="Verdana"/>
        </w:rPr>
        <w:t xml:space="preserve">s cuales las entidades </w:t>
      </w:r>
      <w:r w:rsidRPr="00EA389A">
        <w:rPr>
          <w:rFonts w:ascii="Verdana" w:hAnsi="Verdana"/>
        </w:rPr>
        <w:lastRenderedPageBreak/>
        <w:t>públicas reportan la información financiera de naturaleza cuantitativa y cualitativa. Esta categoría está conformada por los siguientes formularios:</w:t>
      </w:r>
    </w:p>
    <w:p w14:paraId="1082FBD5" w14:textId="77777777" w:rsidR="001D4895" w:rsidRPr="00EA389A" w:rsidRDefault="001D4895" w:rsidP="000E2940">
      <w:pPr>
        <w:spacing w:after="0" w:line="240" w:lineRule="auto"/>
        <w:jc w:val="both"/>
        <w:rPr>
          <w:rFonts w:ascii="Verdana" w:hAnsi="Verdana"/>
        </w:rPr>
      </w:pPr>
    </w:p>
    <w:p w14:paraId="3BD014EF" w14:textId="71551A5F" w:rsidR="009812DE" w:rsidRPr="00EA389A" w:rsidRDefault="009812DE" w:rsidP="000E2940">
      <w:pPr>
        <w:pStyle w:val="Prrafodelista"/>
        <w:numPr>
          <w:ilvl w:val="0"/>
          <w:numId w:val="1"/>
        </w:numPr>
        <w:spacing w:after="0" w:line="240" w:lineRule="auto"/>
        <w:ind w:left="426" w:hanging="426"/>
        <w:jc w:val="both"/>
        <w:rPr>
          <w:rFonts w:ascii="Verdana" w:hAnsi="Verdana"/>
        </w:rPr>
      </w:pPr>
      <w:r w:rsidRPr="00EA389A">
        <w:rPr>
          <w:rFonts w:ascii="Verdana" w:hAnsi="Verdana"/>
        </w:rPr>
        <w:t>CGN2015_001_SALDOS</w:t>
      </w:r>
      <w:r w:rsidR="008D77BE" w:rsidRPr="00EA389A">
        <w:rPr>
          <w:rFonts w:ascii="Verdana" w:hAnsi="Verdana"/>
        </w:rPr>
        <w:t>_</w:t>
      </w:r>
      <w:r w:rsidRPr="00EA389A">
        <w:rPr>
          <w:rFonts w:ascii="Verdana" w:hAnsi="Verdana"/>
        </w:rPr>
        <w:t>Y</w:t>
      </w:r>
      <w:r w:rsidR="008D77BE" w:rsidRPr="00EA389A">
        <w:rPr>
          <w:rFonts w:ascii="Verdana" w:hAnsi="Verdana"/>
        </w:rPr>
        <w:t>_</w:t>
      </w:r>
      <w:r w:rsidRPr="00EA389A">
        <w:rPr>
          <w:rFonts w:ascii="Verdana" w:hAnsi="Verdana"/>
        </w:rPr>
        <w:t>MOVIMIENTOS_CONVERGENCIA</w:t>
      </w:r>
    </w:p>
    <w:p w14:paraId="38BFEE37" w14:textId="77777777" w:rsidR="009812DE" w:rsidRPr="00EA389A" w:rsidRDefault="009812DE" w:rsidP="000E2940">
      <w:pPr>
        <w:pStyle w:val="Prrafodelista"/>
        <w:numPr>
          <w:ilvl w:val="0"/>
          <w:numId w:val="1"/>
        </w:numPr>
        <w:spacing w:after="0" w:line="240" w:lineRule="auto"/>
        <w:ind w:left="426" w:hanging="426"/>
        <w:jc w:val="both"/>
        <w:rPr>
          <w:rFonts w:ascii="Verdana" w:hAnsi="Verdana"/>
        </w:rPr>
      </w:pPr>
      <w:r w:rsidRPr="00EA389A">
        <w:rPr>
          <w:rFonts w:ascii="Verdana" w:hAnsi="Verdana"/>
        </w:rPr>
        <w:t>CGN2015_002_OPERACIONES_RECIPROCAS_CONVERGENCIA</w:t>
      </w:r>
    </w:p>
    <w:p w14:paraId="2A3816E4" w14:textId="5D230D6B" w:rsidR="001D4895" w:rsidRPr="00EA389A" w:rsidRDefault="001D4895" w:rsidP="000E2940">
      <w:pPr>
        <w:pStyle w:val="Prrafodelista"/>
        <w:numPr>
          <w:ilvl w:val="0"/>
          <w:numId w:val="1"/>
        </w:numPr>
        <w:spacing w:after="0" w:line="240" w:lineRule="auto"/>
        <w:ind w:left="426" w:hanging="426"/>
        <w:jc w:val="both"/>
        <w:rPr>
          <w:rFonts w:ascii="Verdana" w:hAnsi="Verdana"/>
        </w:rPr>
      </w:pPr>
      <w:r w:rsidRPr="00EA389A">
        <w:rPr>
          <w:rFonts w:ascii="Verdana" w:hAnsi="Verdana"/>
        </w:rPr>
        <w:t>CGN2016C01_VARIACIONES</w:t>
      </w:r>
      <w:r w:rsidR="008D77BE" w:rsidRPr="00EA389A">
        <w:rPr>
          <w:rFonts w:ascii="Verdana" w:hAnsi="Verdana"/>
        </w:rPr>
        <w:t>_</w:t>
      </w:r>
      <w:r w:rsidRPr="00EA389A">
        <w:rPr>
          <w:rFonts w:ascii="Verdana" w:hAnsi="Verdana"/>
        </w:rPr>
        <w:t>TRIMESTRALES_SIGNIFICATIVAS</w:t>
      </w:r>
    </w:p>
    <w:p w14:paraId="64E9F701" w14:textId="2D66D70F" w:rsidR="009812DE" w:rsidRPr="00EA389A" w:rsidRDefault="001D4895" w:rsidP="000E2940">
      <w:pPr>
        <w:pStyle w:val="Prrafodelista"/>
        <w:numPr>
          <w:ilvl w:val="0"/>
          <w:numId w:val="1"/>
        </w:numPr>
        <w:spacing w:after="0" w:line="240" w:lineRule="auto"/>
        <w:ind w:left="426" w:hanging="426"/>
        <w:jc w:val="both"/>
        <w:rPr>
          <w:rFonts w:ascii="Verdana" w:hAnsi="Verdana"/>
        </w:rPr>
      </w:pPr>
      <w:r w:rsidRPr="00EA389A">
        <w:rPr>
          <w:rFonts w:ascii="Verdana" w:hAnsi="Verdana"/>
        </w:rPr>
        <w:t>CGN2025_005_CAMBIOS_RELEVANTES_ESTAD</w:t>
      </w:r>
      <w:r w:rsidR="00471331" w:rsidRPr="00EA389A">
        <w:rPr>
          <w:rFonts w:ascii="Verdana" w:hAnsi="Verdana"/>
        </w:rPr>
        <w:t>I</w:t>
      </w:r>
      <w:r w:rsidRPr="00EA389A">
        <w:rPr>
          <w:rFonts w:ascii="Verdana" w:hAnsi="Verdana"/>
        </w:rPr>
        <w:t>STICAS_GFP</w:t>
      </w:r>
    </w:p>
    <w:p w14:paraId="7EB5D3B3" w14:textId="77777777" w:rsidR="009812DE" w:rsidRPr="00EA389A" w:rsidRDefault="009812DE" w:rsidP="000E2940">
      <w:pPr>
        <w:pStyle w:val="Prrafodelista"/>
        <w:spacing w:after="0" w:line="240" w:lineRule="auto"/>
        <w:ind w:left="0"/>
        <w:jc w:val="both"/>
        <w:rPr>
          <w:rFonts w:ascii="Verdana" w:hAnsi="Verdana"/>
        </w:rPr>
      </w:pPr>
    </w:p>
    <w:p w14:paraId="20878146" w14:textId="468A61BB" w:rsidR="009812DE" w:rsidRPr="00EA389A" w:rsidRDefault="009812DE" w:rsidP="000E2940">
      <w:pPr>
        <w:spacing w:after="0" w:line="240" w:lineRule="auto"/>
        <w:jc w:val="both"/>
        <w:rPr>
          <w:rFonts w:ascii="Verdana" w:hAnsi="Verdana"/>
        </w:rPr>
      </w:pPr>
      <w:r w:rsidRPr="00EA389A">
        <w:rPr>
          <w:rFonts w:ascii="Verdana" w:hAnsi="Verdana"/>
          <w:b/>
          <w:bCs/>
        </w:rPr>
        <w:t>PAR</w:t>
      </w:r>
      <w:r w:rsidR="003B4D6F" w:rsidRPr="00EA389A">
        <w:rPr>
          <w:rFonts w:ascii="Verdana" w:hAnsi="Verdana"/>
          <w:b/>
          <w:bCs/>
        </w:rPr>
        <w:t>Á</w:t>
      </w:r>
      <w:r w:rsidRPr="00EA389A">
        <w:rPr>
          <w:rFonts w:ascii="Verdana" w:hAnsi="Verdana"/>
          <w:b/>
          <w:bCs/>
        </w:rPr>
        <w:t xml:space="preserve">GRAFO 1. </w:t>
      </w:r>
      <w:r w:rsidRPr="00EA389A">
        <w:rPr>
          <w:rFonts w:ascii="Verdana" w:hAnsi="Verdana"/>
        </w:rPr>
        <w:t xml:space="preserve"> Los aspectos relacionados con el diligenciamiento de los formularios listados son los indicados en el “Procedimiento para la agregación de información, diligenciamiento y envío de los reportes de la categoría </w:t>
      </w:r>
      <w:r w:rsidR="0068669B">
        <w:rPr>
          <w:rFonts w:ascii="Verdana" w:hAnsi="Verdana"/>
        </w:rPr>
        <w:t>I</w:t>
      </w:r>
      <w:r w:rsidRPr="00EA389A">
        <w:rPr>
          <w:rFonts w:ascii="Verdana" w:hAnsi="Verdana"/>
        </w:rPr>
        <w:t xml:space="preserve">nformación </w:t>
      </w:r>
      <w:r w:rsidR="0068669B">
        <w:rPr>
          <w:rFonts w:ascii="Verdana" w:hAnsi="Verdana"/>
        </w:rPr>
        <w:t>C</w:t>
      </w:r>
      <w:r w:rsidRPr="00EA389A">
        <w:rPr>
          <w:rFonts w:ascii="Verdana" w:hAnsi="Verdana"/>
        </w:rPr>
        <w:t xml:space="preserve">ontable </w:t>
      </w:r>
      <w:r w:rsidR="0068669B">
        <w:rPr>
          <w:rFonts w:ascii="Verdana" w:hAnsi="Verdana"/>
        </w:rPr>
        <w:t>P</w:t>
      </w:r>
      <w:r w:rsidRPr="00EA389A">
        <w:rPr>
          <w:rFonts w:ascii="Verdana" w:hAnsi="Verdana"/>
        </w:rPr>
        <w:t xml:space="preserve">ública – </w:t>
      </w:r>
      <w:r w:rsidR="0068669B">
        <w:rPr>
          <w:rFonts w:ascii="Verdana" w:hAnsi="Verdana"/>
        </w:rPr>
        <w:t>C</w:t>
      </w:r>
      <w:r w:rsidRPr="00EA389A">
        <w:rPr>
          <w:rFonts w:ascii="Verdana" w:hAnsi="Verdana"/>
        </w:rPr>
        <w:t xml:space="preserve">onvergencia, a través del Sistema </w:t>
      </w:r>
      <w:r w:rsidR="0068669B">
        <w:rPr>
          <w:rFonts w:ascii="Verdana" w:hAnsi="Verdana"/>
        </w:rPr>
        <w:t>Consolidador de Hacienda e Información Pública</w:t>
      </w:r>
      <w:r w:rsidRPr="00EA389A">
        <w:rPr>
          <w:rFonts w:ascii="Verdana" w:hAnsi="Verdana"/>
        </w:rPr>
        <w:t xml:space="preserve"> </w:t>
      </w:r>
      <w:r w:rsidR="0068669B">
        <w:rPr>
          <w:rFonts w:ascii="Verdana" w:hAnsi="Verdana"/>
        </w:rPr>
        <w:t>(</w:t>
      </w:r>
      <w:r w:rsidRPr="00EA389A">
        <w:rPr>
          <w:rFonts w:ascii="Verdana" w:hAnsi="Verdana"/>
        </w:rPr>
        <w:t>CHIP</w:t>
      </w:r>
      <w:r w:rsidR="0068669B">
        <w:rPr>
          <w:rFonts w:ascii="Verdana" w:hAnsi="Verdana"/>
        </w:rPr>
        <w:t>)</w:t>
      </w:r>
      <w:r w:rsidRPr="00EA389A">
        <w:rPr>
          <w:rFonts w:ascii="Verdana" w:hAnsi="Verdana"/>
        </w:rPr>
        <w:t>”</w:t>
      </w:r>
      <w:r w:rsidR="000704AA">
        <w:rPr>
          <w:rFonts w:ascii="Verdana" w:hAnsi="Verdana"/>
        </w:rPr>
        <w:t>.</w:t>
      </w:r>
    </w:p>
    <w:p w14:paraId="773D93B3" w14:textId="68E19071" w:rsidR="009812DE" w:rsidRPr="00EA389A" w:rsidRDefault="009812DE" w:rsidP="000E2940">
      <w:pPr>
        <w:spacing w:after="0" w:line="240" w:lineRule="auto"/>
        <w:jc w:val="both"/>
        <w:rPr>
          <w:rFonts w:ascii="Verdana" w:hAnsi="Verdana"/>
        </w:rPr>
      </w:pPr>
      <w:r w:rsidRPr="00EA389A">
        <w:rPr>
          <w:rFonts w:ascii="Verdana" w:hAnsi="Verdana"/>
        </w:rPr>
        <w:t xml:space="preserve"> </w:t>
      </w:r>
    </w:p>
    <w:p w14:paraId="10583AC2" w14:textId="45C668E5" w:rsidR="009812DE" w:rsidRPr="00EA389A" w:rsidRDefault="009812DE" w:rsidP="000E2940">
      <w:pPr>
        <w:spacing w:after="0" w:line="240" w:lineRule="auto"/>
        <w:jc w:val="both"/>
        <w:rPr>
          <w:rFonts w:ascii="Verdana" w:hAnsi="Verdana"/>
        </w:rPr>
      </w:pPr>
      <w:r w:rsidRPr="00EA389A">
        <w:rPr>
          <w:rFonts w:ascii="Verdana" w:hAnsi="Verdana"/>
          <w:b/>
          <w:bCs/>
        </w:rPr>
        <w:t>PAR</w:t>
      </w:r>
      <w:r w:rsidR="003B4D6F" w:rsidRPr="00EA389A">
        <w:rPr>
          <w:rFonts w:ascii="Verdana" w:hAnsi="Verdana"/>
          <w:b/>
          <w:bCs/>
        </w:rPr>
        <w:t>Á</w:t>
      </w:r>
      <w:r w:rsidRPr="00EA389A">
        <w:rPr>
          <w:rFonts w:ascii="Verdana" w:hAnsi="Verdana"/>
          <w:b/>
          <w:bCs/>
        </w:rPr>
        <w:t xml:space="preserve">GRAFO </w:t>
      </w:r>
      <w:r w:rsidR="005021CB" w:rsidRPr="00EA389A">
        <w:rPr>
          <w:rFonts w:ascii="Verdana" w:hAnsi="Verdana"/>
          <w:b/>
          <w:bCs/>
        </w:rPr>
        <w:t>2</w:t>
      </w:r>
      <w:r w:rsidRPr="00EA389A">
        <w:rPr>
          <w:rFonts w:ascii="Verdana" w:hAnsi="Verdana"/>
          <w:b/>
          <w:bCs/>
        </w:rPr>
        <w:t xml:space="preserve">. </w:t>
      </w:r>
      <w:r w:rsidRPr="00EA389A">
        <w:rPr>
          <w:rFonts w:ascii="Verdana" w:hAnsi="Verdana"/>
        </w:rPr>
        <w:t xml:space="preserve">El juego completo de estados financieros de la entidad pública hará parte de esta categoría, atenderá lo establecido en </w:t>
      </w:r>
      <w:r w:rsidR="007B2295">
        <w:rPr>
          <w:rFonts w:ascii="Verdana" w:hAnsi="Verdana"/>
        </w:rPr>
        <w:t xml:space="preserve">la </w:t>
      </w:r>
      <w:r w:rsidRPr="00EA389A">
        <w:rPr>
          <w:rFonts w:ascii="Verdana" w:hAnsi="Verdana"/>
        </w:rPr>
        <w:t xml:space="preserve">norma </w:t>
      </w:r>
      <w:r w:rsidR="007B2295">
        <w:rPr>
          <w:rFonts w:ascii="Verdana" w:hAnsi="Verdana"/>
        </w:rPr>
        <w:t xml:space="preserve">para la preparación y </w:t>
      </w:r>
      <w:r w:rsidR="0068669B">
        <w:rPr>
          <w:rFonts w:ascii="Verdana" w:hAnsi="Verdana"/>
        </w:rPr>
        <w:t xml:space="preserve">presentación de </w:t>
      </w:r>
      <w:r w:rsidRPr="00EA389A">
        <w:rPr>
          <w:rFonts w:ascii="Verdana" w:hAnsi="Verdana"/>
        </w:rPr>
        <w:t>estados financieros</w:t>
      </w:r>
      <w:r w:rsidR="007B2295">
        <w:rPr>
          <w:rFonts w:ascii="Verdana" w:hAnsi="Verdana"/>
        </w:rPr>
        <w:t xml:space="preserve"> y revelaciones </w:t>
      </w:r>
      <w:r w:rsidRPr="00EA389A">
        <w:rPr>
          <w:rFonts w:ascii="Verdana" w:hAnsi="Verdana"/>
        </w:rPr>
        <w:t xml:space="preserve">de cada marco normativo, y se reportará en formato pdf </w:t>
      </w:r>
      <w:r w:rsidR="007152F0">
        <w:rPr>
          <w:rFonts w:ascii="Verdana" w:hAnsi="Verdana"/>
        </w:rPr>
        <w:t>con capacidad de búsqueda (tipo texto</w:t>
      </w:r>
      <w:r w:rsidR="003F0F2D">
        <w:rPr>
          <w:rFonts w:ascii="Verdana" w:hAnsi="Verdana"/>
        </w:rPr>
        <w:t>,</w:t>
      </w:r>
      <w:r w:rsidR="007152F0">
        <w:rPr>
          <w:rFonts w:ascii="Verdana" w:hAnsi="Verdana"/>
        </w:rPr>
        <w:t xml:space="preserve"> no imagen),</w:t>
      </w:r>
      <w:r w:rsidRPr="00EA389A">
        <w:rPr>
          <w:rFonts w:ascii="Verdana" w:hAnsi="Verdana"/>
        </w:rPr>
        <w:t xml:space="preserve"> en los plazos establecidos en </w:t>
      </w:r>
      <w:r w:rsidR="00614F5D" w:rsidRPr="00EA389A">
        <w:rPr>
          <w:rFonts w:ascii="Verdana" w:hAnsi="Verdana"/>
        </w:rPr>
        <w:t xml:space="preserve">la presente </w:t>
      </w:r>
      <w:r w:rsidRPr="00EA389A">
        <w:rPr>
          <w:rFonts w:ascii="Verdana" w:hAnsi="Verdana"/>
        </w:rPr>
        <w:t>resolución.</w:t>
      </w:r>
    </w:p>
    <w:p w14:paraId="23D2DA5A" w14:textId="77777777" w:rsidR="009812DE" w:rsidRPr="00EA389A" w:rsidRDefault="009812DE" w:rsidP="000E2940">
      <w:pPr>
        <w:spacing w:after="0" w:line="240" w:lineRule="auto"/>
        <w:jc w:val="both"/>
        <w:rPr>
          <w:rFonts w:ascii="Verdana" w:hAnsi="Verdana"/>
        </w:rPr>
      </w:pPr>
    </w:p>
    <w:p w14:paraId="6B0F792C" w14:textId="4CE9108C" w:rsidR="009812DE" w:rsidRPr="00EA389A" w:rsidRDefault="009812DE" w:rsidP="000E2940">
      <w:pPr>
        <w:spacing w:after="0" w:line="240" w:lineRule="auto"/>
        <w:jc w:val="both"/>
        <w:rPr>
          <w:rFonts w:ascii="Verdana" w:hAnsi="Verdana"/>
        </w:rPr>
      </w:pPr>
      <w:r w:rsidRPr="00EA389A">
        <w:rPr>
          <w:rFonts w:ascii="Verdana" w:hAnsi="Verdana"/>
        </w:rPr>
        <w:t>La “</w:t>
      </w:r>
      <w:r w:rsidR="008D77BE" w:rsidRPr="00EA389A">
        <w:rPr>
          <w:rFonts w:ascii="Verdana" w:hAnsi="Verdana"/>
        </w:rPr>
        <w:t>Plantilla para la preparación y presentación uniforme de las notas a los estados financieros</w:t>
      </w:r>
      <w:r w:rsidRPr="00EA389A">
        <w:rPr>
          <w:rFonts w:ascii="Verdana" w:hAnsi="Verdana"/>
        </w:rPr>
        <w:t xml:space="preserve">”, </w:t>
      </w:r>
      <w:r w:rsidR="00CF2DEE" w:rsidRPr="00EA389A">
        <w:rPr>
          <w:rFonts w:ascii="Verdana" w:hAnsi="Verdana"/>
        </w:rPr>
        <w:t xml:space="preserve">junto con los anexos </w:t>
      </w:r>
      <w:r w:rsidRPr="00EA389A">
        <w:rPr>
          <w:rFonts w:ascii="Verdana" w:hAnsi="Verdana"/>
        </w:rPr>
        <w:t xml:space="preserve">de apoyo </w:t>
      </w:r>
      <w:r w:rsidR="00CF2DEE" w:rsidRPr="00EA389A">
        <w:rPr>
          <w:rFonts w:ascii="Verdana" w:hAnsi="Verdana"/>
        </w:rPr>
        <w:t>correspondientes</w:t>
      </w:r>
      <w:r w:rsidRPr="00EA389A">
        <w:rPr>
          <w:rFonts w:ascii="Verdana" w:hAnsi="Verdana"/>
        </w:rPr>
        <w:t xml:space="preserve">, </w:t>
      </w:r>
      <w:r w:rsidR="00EA78A2" w:rsidRPr="00EA389A">
        <w:rPr>
          <w:rFonts w:ascii="Verdana" w:hAnsi="Verdana"/>
        </w:rPr>
        <w:t xml:space="preserve">forman parte integral </w:t>
      </w:r>
      <w:r w:rsidRPr="00EA389A">
        <w:rPr>
          <w:rFonts w:ascii="Verdana" w:hAnsi="Verdana"/>
        </w:rPr>
        <w:t>de esta resolución.</w:t>
      </w:r>
    </w:p>
    <w:p w14:paraId="150BD8CC" w14:textId="411D5C28" w:rsidR="009812DE" w:rsidRPr="00EA389A" w:rsidRDefault="009812DE" w:rsidP="000E2940">
      <w:pPr>
        <w:spacing w:after="0" w:line="240" w:lineRule="auto"/>
        <w:jc w:val="both"/>
        <w:rPr>
          <w:rFonts w:ascii="Verdana" w:hAnsi="Verdana"/>
        </w:rPr>
      </w:pPr>
    </w:p>
    <w:p w14:paraId="0288B439" w14:textId="7B296743" w:rsidR="009812DE" w:rsidRPr="00EA389A" w:rsidRDefault="009812DE" w:rsidP="000E2940">
      <w:pPr>
        <w:spacing w:after="0" w:line="240" w:lineRule="auto"/>
        <w:jc w:val="both"/>
        <w:rPr>
          <w:rFonts w:ascii="Verdana" w:hAnsi="Verdana"/>
        </w:rPr>
      </w:pPr>
      <w:r w:rsidRPr="00EA389A">
        <w:rPr>
          <w:rFonts w:ascii="Verdana" w:hAnsi="Verdana"/>
        </w:rPr>
        <w:t>A partir del corte de presentación de</w:t>
      </w:r>
      <w:r w:rsidR="00614F5D" w:rsidRPr="00EA389A">
        <w:rPr>
          <w:rFonts w:ascii="Verdana" w:hAnsi="Verdana"/>
        </w:rPr>
        <w:t xml:space="preserve"> </w:t>
      </w:r>
      <w:r w:rsidRPr="00EA389A">
        <w:rPr>
          <w:rFonts w:ascii="Verdana" w:hAnsi="Verdana"/>
        </w:rPr>
        <w:t>l</w:t>
      </w:r>
      <w:r w:rsidR="00614F5D" w:rsidRPr="00EA389A">
        <w:rPr>
          <w:rFonts w:ascii="Verdana" w:hAnsi="Verdana"/>
        </w:rPr>
        <w:t xml:space="preserve">os estados financieros de </w:t>
      </w:r>
      <w:r w:rsidRPr="00EA389A">
        <w:rPr>
          <w:rFonts w:ascii="Verdana" w:hAnsi="Verdana"/>
        </w:rPr>
        <w:t>la vigencia 202</w:t>
      </w:r>
      <w:r w:rsidR="0046706A" w:rsidRPr="00EA389A">
        <w:rPr>
          <w:rFonts w:ascii="Verdana" w:hAnsi="Verdana"/>
        </w:rPr>
        <w:t>4</w:t>
      </w:r>
      <w:r w:rsidRPr="00EA389A">
        <w:rPr>
          <w:rFonts w:ascii="Verdana" w:hAnsi="Verdana"/>
        </w:rPr>
        <w:t xml:space="preserve">, las entidades públicas incluidas en el ámbito del </w:t>
      </w:r>
      <w:r w:rsidR="000D408B" w:rsidRPr="00EA389A">
        <w:rPr>
          <w:rFonts w:ascii="Verdana" w:hAnsi="Verdana"/>
        </w:rPr>
        <w:t>RCP</w:t>
      </w:r>
      <w:r w:rsidRPr="00EA389A">
        <w:rPr>
          <w:rFonts w:ascii="Verdana" w:hAnsi="Verdana"/>
        </w:rPr>
        <w:t xml:space="preserve">, de conformidad con lo dispuesto por los artículos 1 y 5 de </w:t>
      </w:r>
      <w:r w:rsidR="000D408B" w:rsidRPr="00EA389A">
        <w:rPr>
          <w:rFonts w:ascii="Verdana" w:hAnsi="Verdana"/>
        </w:rPr>
        <w:t>l</w:t>
      </w:r>
      <w:r w:rsidRPr="00EA389A">
        <w:rPr>
          <w:rFonts w:ascii="Verdana" w:hAnsi="Verdana"/>
        </w:rPr>
        <w:t xml:space="preserve">a Resolución 354 de 2007, modificados por el artículo 1 de la Resolución 156 de 2018 y por el </w:t>
      </w:r>
      <w:r w:rsidR="0058432D" w:rsidRPr="00EA389A">
        <w:rPr>
          <w:rFonts w:ascii="Verdana" w:hAnsi="Verdana"/>
        </w:rPr>
        <w:t>artículo</w:t>
      </w:r>
      <w:r w:rsidRPr="00EA389A">
        <w:rPr>
          <w:rFonts w:ascii="Verdana" w:hAnsi="Verdana"/>
        </w:rPr>
        <w:t xml:space="preserve"> 1 de la Resolución 195 de 2021, deberán presentar sus notas a los estados financieros cumpliendo con la estructura uniforme detallada en el documento anexo denominado </w:t>
      </w:r>
      <w:r w:rsidR="008D77BE" w:rsidRPr="00EA389A">
        <w:rPr>
          <w:rFonts w:ascii="Verdana" w:hAnsi="Verdana"/>
        </w:rPr>
        <w:t>“Plantilla para la preparación y presentación uniforme de las notas a los estados financieros”</w:t>
      </w:r>
      <w:r w:rsidRPr="00EA389A">
        <w:rPr>
          <w:rFonts w:ascii="Verdana" w:hAnsi="Verdana"/>
        </w:rPr>
        <w:t>, el cual incluye aspectos para la preparación de las notas y hace parte de la presente resolución, estableciendo su obligatoriedad en los siguientes parámetros:</w:t>
      </w:r>
    </w:p>
    <w:p w14:paraId="65550D2F" w14:textId="77777777" w:rsidR="009812DE" w:rsidRPr="00EA389A" w:rsidRDefault="009812DE" w:rsidP="000E2940">
      <w:pPr>
        <w:spacing w:after="0" w:line="240" w:lineRule="auto"/>
        <w:jc w:val="both"/>
        <w:rPr>
          <w:rFonts w:ascii="Verdana" w:hAnsi="Verdana"/>
        </w:rPr>
      </w:pPr>
    </w:p>
    <w:p w14:paraId="6787C6D6" w14:textId="17896835" w:rsidR="009812DE" w:rsidRPr="00EA389A" w:rsidRDefault="009812DE" w:rsidP="000E2940">
      <w:pPr>
        <w:pStyle w:val="Prrafodelista"/>
        <w:numPr>
          <w:ilvl w:val="0"/>
          <w:numId w:val="2"/>
        </w:numPr>
        <w:spacing w:after="0" w:line="240" w:lineRule="auto"/>
        <w:ind w:left="426" w:hanging="426"/>
        <w:jc w:val="both"/>
        <w:rPr>
          <w:rFonts w:ascii="Verdana" w:hAnsi="Verdana"/>
        </w:rPr>
      </w:pPr>
      <w:r w:rsidRPr="00EA389A">
        <w:rPr>
          <w:rFonts w:ascii="Verdana" w:hAnsi="Verdana"/>
        </w:rPr>
        <w:t>La numeración y denominación de la nota deberá presentarse de acuerdo con el modelo propuesto en la plantilla</w:t>
      </w:r>
      <w:r w:rsidR="000E2940" w:rsidRPr="00EA389A">
        <w:rPr>
          <w:rFonts w:ascii="Verdana" w:hAnsi="Verdana"/>
        </w:rPr>
        <w:t xml:space="preserve">. </w:t>
      </w:r>
      <w:r w:rsidRPr="00EA389A">
        <w:rPr>
          <w:rFonts w:ascii="Verdana" w:hAnsi="Verdana"/>
        </w:rPr>
        <w:t>Ejemplos:</w:t>
      </w:r>
    </w:p>
    <w:p w14:paraId="5EE3DBAD" w14:textId="77777777" w:rsidR="009812DE" w:rsidRPr="00EA389A" w:rsidRDefault="009812DE" w:rsidP="000E2940">
      <w:pPr>
        <w:pStyle w:val="Prrafodelista"/>
        <w:spacing w:after="0" w:line="240" w:lineRule="auto"/>
        <w:ind w:left="426" w:hanging="426"/>
        <w:jc w:val="both"/>
        <w:rPr>
          <w:rFonts w:ascii="Verdana" w:hAnsi="Verdana"/>
        </w:rPr>
      </w:pPr>
    </w:p>
    <w:p w14:paraId="666F772D" w14:textId="77777777" w:rsidR="009812DE" w:rsidRPr="00EA389A" w:rsidRDefault="009812DE" w:rsidP="000E2940">
      <w:pPr>
        <w:pStyle w:val="Prrafodelista"/>
        <w:spacing w:after="0" w:line="240" w:lineRule="auto"/>
        <w:ind w:left="426"/>
        <w:jc w:val="both"/>
        <w:rPr>
          <w:rFonts w:ascii="Verdana" w:hAnsi="Verdana"/>
        </w:rPr>
      </w:pPr>
      <w:r w:rsidRPr="00EA389A">
        <w:rPr>
          <w:rFonts w:ascii="Verdana" w:hAnsi="Verdana"/>
        </w:rPr>
        <w:t>NOTA 1. ENTIDAD REPORTANTE</w:t>
      </w:r>
    </w:p>
    <w:p w14:paraId="5D3BF8CD" w14:textId="77777777" w:rsidR="009812DE" w:rsidRPr="00EA389A" w:rsidRDefault="009812DE" w:rsidP="000E2940">
      <w:pPr>
        <w:pStyle w:val="Prrafodelista"/>
        <w:spacing w:after="0" w:line="240" w:lineRule="auto"/>
        <w:ind w:left="426"/>
        <w:jc w:val="both"/>
        <w:rPr>
          <w:rFonts w:ascii="Verdana" w:hAnsi="Verdana"/>
        </w:rPr>
      </w:pPr>
      <w:r w:rsidRPr="00EA389A">
        <w:rPr>
          <w:rFonts w:ascii="Verdana" w:hAnsi="Verdana"/>
        </w:rPr>
        <w:t>NOTA 5. EFECTIVO Y EQUIVALENTE AL EFECTIVO</w:t>
      </w:r>
    </w:p>
    <w:p w14:paraId="60C4A930" w14:textId="77777777" w:rsidR="009812DE" w:rsidRPr="00EA389A" w:rsidRDefault="009812DE" w:rsidP="000E2940">
      <w:pPr>
        <w:pStyle w:val="Prrafodelista"/>
        <w:spacing w:after="0" w:line="240" w:lineRule="auto"/>
        <w:ind w:left="426" w:hanging="426"/>
        <w:jc w:val="both"/>
        <w:rPr>
          <w:rFonts w:ascii="Verdana" w:hAnsi="Verdana"/>
        </w:rPr>
      </w:pPr>
    </w:p>
    <w:p w14:paraId="051F6FBF" w14:textId="77777777" w:rsidR="001A424E" w:rsidRPr="00EA389A" w:rsidRDefault="001A424E" w:rsidP="000E2940">
      <w:pPr>
        <w:pStyle w:val="Textocomentario"/>
        <w:numPr>
          <w:ilvl w:val="0"/>
          <w:numId w:val="2"/>
        </w:numPr>
        <w:spacing w:after="0"/>
        <w:ind w:left="426" w:hanging="426"/>
        <w:jc w:val="both"/>
        <w:rPr>
          <w:rFonts w:ascii="Verdana" w:hAnsi="Verdana"/>
          <w:sz w:val="22"/>
          <w:szCs w:val="22"/>
        </w:rPr>
      </w:pPr>
      <w:r w:rsidRPr="00EA389A">
        <w:rPr>
          <w:rFonts w:ascii="Verdana" w:hAnsi="Verdana"/>
          <w:sz w:val="22"/>
          <w:szCs w:val="22"/>
        </w:rPr>
        <w:t>En cuanto a los subtítulos incluidos en cada nota que sean aplicables a las entidades, es obligatorio mantener el nombre indicado en la plantilla. La numeración interna debe seguir un orden consecutivo</w:t>
      </w:r>
      <w:r w:rsidR="00B53047">
        <w:rPr>
          <w:rFonts w:ascii="Verdana" w:hAnsi="Verdana"/>
          <w:sz w:val="22"/>
          <w:szCs w:val="22"/>
        </w:rPr>
        <w:t>,</w:t>
      </w:r>
      <w:r w:rsidRPr="00EA389A">
        <w:rPr>
          <w:rFonts w:ascii="Verdana" w:hAnsi="Verdana"/>
          <w:sz w:val="22"/>
          <w:szCs w:val="22"/>
        </w:rPr>
        <w:t xml:space="preserve"> según lo requiera la entidad.</w:t>
      </w:r>
    </w:p>
    <w:p w14:paraId="3C6017DA" w14:textId="77777777" w:rsidR="003B4D6F" w:rsidRPr="00EA389A" w:rsidRDefault="003B4D6F" w:rsidP="000E2940">
      <w:pPr>
        <w:spacing w:after="0" w:line="240" w:lineRule="auto"/>
        <w:jc w:val="both"/>
        <w:rPr>
          <w:rFonts w:ascii="Verdana" w:hAnsi="Verdana"/>
        </w:rPr>
      </w:pPr>
    </w:p>
    <w:p w14:paraId="466B02D3" w14:textId="2FB7E1D9" w:rsidR="006A6412" w:rsidRPr="00EA389A" w:rsidRDefault="006A6412" w:rsidP="000E2940">
      <w:pPr>
        <w:spacing w:after="0" w:line="240" w:lineRule="auto"/>
        <w:jc w:val="both"/>
        <w:rPr>
          <w:rFonts w:ascii="Verdana" w:hAnsi="Verdana"/>
        </w:rPr>
      </w:pPr>
      <w:r w:rsidRPr="00EA389A">
        <w:rPr>
          <w:rFonts w:ascii="Verdana" w:hAnsi="Verdana"/>
        </w:rPr>
        <w:t xml:space="preserve">Las entidades y empresas, al preparar sus notas, podrán ampliar los detalles propuestos por la CGN. Sin embargo, deberán mantener la denominación y numeración establecidas en la plantilla, y asegurarse de cumplir con las revelaciones mínimas requeridas por </w:t>
      </w:r>
      <w:r w:rsidR="000D408B" w:rsidRPr="00EA389A">
        <w:rPr>
          <w:rFonts w:ascii="Verdana" w:hAnsi="Verdana"/>
        </w:rPr>
        <w:t>el</w:t>
      </w:r>
      <w:r w:rsidRPr="00EA389A">
        <w:rPr>
          <w:rFonts w:ascii="Verdana" w:hAnsi="Verdana"/>
        </w:rPr>
        <w:t xml:space="preserve"> marco normativo</w:t>
      </w:r>
      <w:r w:rsidR="000D408B" w:rsidRPr="00EA389A">
        <w:rPr>
          <w:rFonts w:ascii="Verdana" w:hAnsi="Verdana"/>
        </w:rPr>
        <w:t xml:space="preserve"> que les aplique.</w:t>
      </w:r>
    </w:p>
    <w:p w14:paraId="63DD31E9" w14:textId="77777777" w:rsidR="009812DE" w:rsidRPr="00EA389A" w:rsidRDefault="009812DE" w:rsidP="000E2940">
      <w:pPr>
        <w:spacing w:after="0" w:line="240" w:lineRule="auto"/>
        <w:jc w:val="both"/>
        <w:rPr>
          <w:rFonts w:ascii="Verdana" w:hAnsi="Verdana"/>
        </w:rPr>
      </w:pPr>
    </w:p>
    <w:p w14:paraId="763D9DDF" w14:textId="2371CA66" w:rsidR="00240B27" w:rsidRPr="00EA389A" w:rsidRDefault="00240B27" w:rsidP="000E2940">
      <w:pPr>
        <w:pStyle w:val="Textocomentario"/>
        <w:spacing w:after="0"/>
        <w:jc w:val="both"/>
        <w:rPr>
          <w:rFonts w:ascii="Verdana" w:hAnsi="Verdana"/>
          <w:sz w:val="22"/>
          <w:szCs w:val="22"/>
        </w:rPr>
      </w:pPr>
      <w:r w:rsidRPr="00EA389A">
        <w:rPr>
          <w:rFonts w:ascii="Verdana" w:hAnsi="Verdana"/>
          <w:sz w:val="22"/>
          <w:szCs w:val="22"/>
        </w:rPr>
        <w:t xml:space="preserve">Para las empresas que Cotizan en el Mercado de Valores, o que Captan o Administran Ahorro del Público, no es obligatoria la presentación de las </w:t>
      </w:r>
      <w:r w:rsidR="00B53047">
        <w:rPr>
          <w:rFonts w:ascii="Verdana" w:hAnsi="Verdana"/>
          <w:sz w:val="22"/>
          <w:szCs w:val="22"/>
        </w:rPr>
        <w:t>n</w:t>
      </w:r>
      <w:r w:rsidRPr="00EA389A">
        <w:rPr>
          <w:rFonts w:ascii="Verdana" w:hAnsi="Verdana"/>
          <w:sz w:val="22"/>
          <w:szCs w:val="22"/>
        </w:rPr>
        <w:t xml:space="preserve">otas a los </w:t>
      </w:r>
      <w:r w:rsidR="00B53047">
        <w:rPr>
          <w:rFonts w:ascii="Verdana" w:hAnsi="Verdana"/>
          <w:sz w:val="22"/>
          <w:szCs w:val="22"/>
        </w:rPr>
        <w:t>e</w:t>
      </w:r>
      <w:r w:rsidRPr="00EA389A">
        <w:rPr>
          <w:rFonts w:ascii="Verdana" w:hAnsi="Verdana"/>
          <w:sz w:val="22"/>
          <w:szCs w:val="22"/>
        </w:rPr>
        <w:t xml:space="preserve">stados </w:t>
      </w:r>
      <w:r w:rsidR="00B53047">
        <w:rPr>
          <w:rFonts w:ascii="Verdana" w:hAnsi="Verdana"/>
          <w:sz w:val="22"/>
          <w:szCs w:val="22"/>
        </w:rPr>
        <w:t>f</w:t>
      </w:r>
      <w:r w:rsidRPr="00EA389A">
        <w:rPr>
          <w:rFonts w:ascii="Verdana" w:hAnsi="Verdana"/>
          <w:sz w:val="22"/>
          <w:szCs w:val="22"/>
        </w:rPr>
        <w:t xml:space="preserve">inancieros según la estructura uniforme propuesta por la CGN. Sin embargo, si utilizan una numeración y denominación diferente para las notas, </w:t>
      </w:r>
      <w:r w:rsidRPr="00EA389A">
        <w:rPr>
          <w:rFonts w:ascii="Verdana" w:hAnsi="Verdana"/>
          <w:sz w:val="22"/>
          <w:szCs w:val="22"/>
        </w:rPr>
        <w:lastRenderedPageBreak/>
        <w:t>deberán incluir, como parte integral de sus notas generales, la tabla detallada en el Anexo "Homologación de Estructura para Empresas Cotizantes", que forma parte de la presente resolución.</w:t>
      </w:r>
    </w:p>
    <w:p w14:paraId="262BCA6E" w14:textId="77777777" w:rsidR="00471331" w:rsidRPr="00EA389A" w:rsidRDefault="00471331" w:rsidP="000E2940">
      <w:pPr>
        <w:pStyle w:val="Textocomentario"/>
        <w:spacing w:after="0"/>
        <w:jc w:val="both"/>
        <w:rPr>
          <w:rFonts w:ascii="Verdana" w:hAnsi="Verdana"/>
          <w:sz w:val="22"/>
          <w:szCs w:val="22"/>
        </w:rPr>
      </w:pPr>
    </w:p>
    <w:p w14:paraId="035543F2" w14:textId="204596FF" w:rsidR="009812DE" w:rsidRPr="00EA389A" w:rsidRDefault="009812DE" w:rsidP="000E2940">
      <w:pPr>
        <w:spacing w:after="0" w:line="240" w:lineRule="auto"/>
        <w:jc w:val="both"/>
        <w:rPr>
          <w:rFonts w:ascii="Verdana" w:hAnsi="Verdana"/>
        </w:rPr>
      </w:pPr>
      <w:r w:rsidRPr="00EA389A">
        <w:rPr>
          <w:rFonts w:ascii="Verdana" w:hAnsi="Verdana"/>
        </w:rPr>
        <w:t>La C</w:t>
      </w:r>
      <w:r w:rsidR="000D408B" w:rsidRPr="00EA389A">
        <w:rPr>
          <w:rFonts w:ascii="Verdana" w:hAnsi="Verdana"/>
        </w:rPr>
        <w:t>GN</w:t>
      </w:r>
      <w:r w:rsidRPr="00EA389A">
        <w:rPr>
          <w:rFonts w:ascii="Verdana" w:hAnsi="Verdana"/>
        </w:rPr>
        <w:t xml:space="preserve"> pone a disposición de las entidades, anexos de apoyo en formato Excel, que tienen como objetivo facilitar la preparación de las notas a los </w:t>
      </w:r>
      <w:r w:rsidR="00B53047">
        <w:rPr>
          <w:rFonts w:ascii="Verdana" w:hAnsi="Verdana"/>
        </w:rPr>
        <w:t>e</w:t>
      </w:r>
      <w:r w:rsidRPr="00EA389A">
        <w:rPr>
          <w:rFonts w:ascii="Verdana" w:hAnsi="Verdana"/>
        </w:rPr>
        <w:t xml:space="preserve">stados </w:t>
      </w:r>
      <w:r w:rsidR="00B53047">
        <w:rPr>
          <w:rFonts w:ascii="Verdana" w:hAnsi="Verdana"/>
        </w:rPr>
        <w:t>f</w:t>
      </w:r>
      <w:r w:rsidRPr="00EA389A">
        <w:rPr>
          <w:rFonts w:ascii="Verdana" w:hAnsi="Verdana"/>
        </w:rPr>
        <w:t>inancieros, los cuales se relacionan con las revelaciones establecidas en cada marco normativo. Estos anexos no son objeto de reporte a la CGN</w:t>
      </w:r>
      <w:r w:rsidR="000E2940" w:rsidRPr="00EA389A">
        <w:rPr>
          <w:rFonts w:ascii="Verdana" w:hAnsi="Verdana"/>
        </w:rPr>
        <w:t>.</w:t>
      </w:r>
      <w:r w:rsidR="008E3099">
        <w:rPr>
          <w:rFonts w:ascii="Verdana" w:hAnsi="Verdana"/>
        </w:rPr>
        <w:t xml:space="preserve"> </w:t>
      </w:r>
      <w:r w:rsidR="000E2940" w:rsidRPr="00EA389A">
        <w:rPr>
          <w:rFonts w:ascii="Verdana" w:hAnsi="Verdana"/>
        </w:rPr>
        <w:t xml:space="preserve">Los anexos enunciados </w:t>
      </w:r>
      <w:r w:rsidR="00A80A8F" w:rsidRPr="00EA389A">
        <w:rPr>
          <w:rFonts w:ascii="Verdana" w:hAnsi="Verdana"/>
        </w:rPr>
        <w:t>son los siguientes:</w:t>
      </w:r>
    </w:p>
    <w:p w14:paraId="118D702E" w14:textId="77777777" w:rsidR="000D408B" w:rsidRPr="00EA389A" w:rsidRDefault="000D408B" w:rsidP="000E2940">
      <w:pPr>
        <w:shd w:val="clear" w:color="auto" w:fill="FFFFFF" w:themeFill="background1"/>
        <w:spacing w:after="0" w:line="240" w:lineRule="auto"/>
        <w:jc w:val="both"/>
        <w:rPr>
          <w:rFonts w:ascii="Verdana" w:hAnsi="Verdana"/>
        </w:rPr>
      </w:pPr>
    </w:p>
    <w:p w14:paraId="3BF6F250" w14:textId="77777777"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 xml:space="preserve">Anexo N_5 - Efectivo y </w:t>
      </w:r>
      <w:proofErr w:type="spellStart"/>
      <w:r w:rsidRPr="00EA389A">
        <w:rPr>
          <w:rFonts w:ascii="Verdana" w:hAnsi="Verdana"/>
        </w:rPr>
        <w:t>Equi_al</w:t>
      </w:r>
      <w:proofErr w:type="spellEnd"/>
      <w:r w:rsidRPr="00EA389A">
        <w:rPr>
          <w:rFonts w:ascii="Verdana" w:hAnsi="Verdana"/>
        </w:rPr>
        <w:t>_ Efectivo</w:t>
      </w:r>
    </w:p>
    <w:p w14:paraId="0BBAB8F6" w14:textId="77777777"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 xml:space="preserve">Anexo N_6 - Inversiones e </w:t>
      </w:r>
      <w:proofErr w:type="spellStart"/>
      <w:r w:rsidRPr="00EA389A">
        <w:rPr>
          <w:rFonts w:ascii="Verdana" w:hAnsi="Verdana"/>
        </w:rPr>
        <w:t>Instr_Derivados</w:t>
      </w:r>
      <w:proofErr w:type="spellEnd"/>
    </w:p>
    <w:p w14:paraId="15567D4D" w14:textId="77777777"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N_7 - Cuentas por cobrar</w:t>
      </w:r>
    </w:p>
    <w:p w14:paraId="3211B4D6" w14:textId="0FFB77BC"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 xml:space="preserve">Anexo N_8 - </w:t>
      </w:r>
      <w:r w:rsidR="006139D9" w:rsidRPr="00EA389A">
        <w:rPr>
          <w:rFonts w:ascii="Verdana" w:hAnsi="Verdana"/>
        </w:rPr>
        <w:t>Pr</w:t>
      </w:r>
      <w:r w:rsidR="006139D9">
        <w:rPr>
          <w:rFonts w:ascii="Verdana" w:hAnsi="Verdana"/>
        </w:rPr>
        <w:t>é</w:t>
      </w:r>
      <w:r w:rsidR="006139D9" w:rsidRPr="00EA389A">
        <w:rPr>
          <w:rFonts w:ascii="Verdana" w:hAnsi="Verdana"/>
        </w:rPr>
        <w:t xml:space="preserve">stamos </w:t>
      </w:r>
      <w:r w:rsidRPr="00EA389A">
        <w:rPr>
          <w:rFonts w:ascii="Verdana" w:hAnsi="Verdana"/>
        </w:rPr>
        <w:t>por cobrar</w:t>
      </w:r>
    </w:p>
    <w:p w14:paraId="6C53429E" w14:textId="77777777"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N_9 - Inventarios</w:t>
      </w:r>
    </w:p>
    <w:p w14:paraId="512F8F2C" w14:textId="77777777"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N_10 - Propiedades, planta y equipo</w:t>
      </w:r>
    </w:p>
    <w:p w14:paraId="28947ADB" w14:textId="77777777"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 xml:space="preserve">Anexo N_11 - Bienes uso público, </w:t>
      </w:r>
      <w:proofErr w:type="spellStart"/>
      <w:r w:rsidRPr="00EA389A">
        <w:rPr>
          <w:rFonts w:ascii="Verdana" w:hAnsi="Verdana"/>
        </w:rPr>
        <w:t>histór</w:t>
      </w:r>
      <w:proofErr w:type="spellEnd"/>
      <w:r w:rsidRPr="00EA389A">
        <w:rPr>
          <w:rFonts w:ascii="Verdana" w:hAnsi="Verdana"/>
        </w:rPr>
        <w:t xml:space="preserve"> y culturales</w:t>
      </w:r>
    </w:p>
    <w:p w14:paraId="6339DE4D" w14:textId="57AC35FF"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 xml:space="preserve">Anexo N_12 </w:t>
      </w:r>
      <w:r w:rsidR="00471331" w:rsidRPr="00EA389A">
        <w:rPr>
          <w:rFonts w:ascii="Verdana" w:hAnsi="Verdana"/>
        </w:rPr>
        <w:t xml:space="preserve">- </w:t>
      </w:r>
      <w:proofErr w:type="spellStart"/>
      <w:r w:rsidRPr="00EA389A">
        <w:rPr>
          <w:rFonts w:ascii="Verdana" w:hAnsi="Verdana"/>
        </w:rPr>
        <w:t>Rec_Nat</w:t>
      </w:r>
      <w:proofErr w:type="spellEnd"/>
      <w:r w:rsidRPr="00EA389A">
        <w:rPr>
          <w:rFonts w:ascii="Verdana" w:hAnsi="Verdana"/>
        </w:rPr>
        <w:t xml:space="preserve"> No renovables</w:t>
      </w:r>
    </w:p>
    <w:p w14:paraId="3E121966" w14:textId="77777777"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 xml:space="preserve">Anexo N_13 - Propiedades de inversión </w:t>
      </w:r>
    </w:p>
    <w:p w14:paraId="57652755" w14:textId="77777777"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N_14 - Activos intangibles</w:t>
      </w:r>
    </w:p>
    <w:p w14:paraId="5EA2DA71" w14:textId="77777777"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N_15 - Activos biológicos</w:t>
      </w:r>
    </w:p>
    <w:p w14:paraId="28A316D7" w14:textId="77777777"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N_16 - Otros derechos y garantías</w:t>
      </w:r>
    </w:p>
    <w:p w14:paraId="13AFFE44" w14:textId="77777777"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N_17 - Arrendamientos</w:t>
      </w:r>
    </w:p>
    <w:p w14:paraId="61BA271B" w14:textId="77777777"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N_18 - Costos de financiación</w:t>
      </w:r>
    </w:p>
    <w:p w14:paraId="3D7B1DB0" w14:textId="77777777"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 xml:space="preserve">Anexo N_19 - Emisión y colocación de títulos de deuda </w:t>
      </w:r>
    </w:p>
    <w:p w14:paraId="5DA77DDB" w14:textId="15BAE432" w:rsidR="005021CB" w:rsidRPr="00EA389A" w:rsidRDefault="005021CB"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 xml:space="preserve">Anexo N_20 </w:t>
      </w:r>
      <w:r w:rsidR="003B5DC9" w:rsidRPr="00EA389A">
        <w:rPr>
          <w:rFonts w:ascii="Verdana" w:hAnsi="Verdana"/>
        </w:rPr>
        <w:t xml:space="preserve">- </w:t>
      </w:r>
      <w:r w:rsidRPr="00EA389A">
        <w:rPr>
          <w:rFonts w:ascii="Verdana" w:hAnsi="Verdana"/>
        </w:rPr>
        <w:t>Operaciones de instituciones financieras</w:t>
      </w:r>
    </w:p>
    <w:p w14:paraId="372EAB7A" w14:textId="3DD12184"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N_2</w:t>
      </w:r>
      <w:r w:rsidR="005021CB" w:rsidRPr="00EA389A">
        <w:rPr>
          <w:rFonts w:ascii="Verdana" w:hAnsi="Verdana"/>
        </w:rPr>
        <w:t>1</w:t>
      </w:r>
      <w:r w:rsidRPr="00EA389A">
        <w:rPr>
          <w:rFonts w:ascii="Verdana" w:hAnsi="Verdana"/>
        </w:rPr>
        <w:t xml:space="preserve"> - Préstamos por pagar</w:t>
      </w:r>
    </w:p>
    <w:p w14:paraId="14752630" w14:textId="1AFF9483"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N_2</w:t>
      </w:r>
      <w:r w:rsidR="005021CB" w:rsidRPr="00EA389A">
        <w:rPr>
          <w:rFonts w:ascii="Verdana" w:hAnsi="Verdana"/>
        </w:rPr>
        <w:t>2</w:t>
      </w:r>
      <w:r w:rsidRPr="00EA389A">
        <w:rPr>
          <w:rFonts w:ascii="Verdana" w:hAnsi="Verdana"/>
        </w:rPr>
        <w:t xml:space="preserve"> - Cuentas por pagar</w:t>
      </w:r>
    </w:p>
    <w:p w14:paraId="6D46C21F" w14:textId="11F98BBD" w:rsidR="009812DE" w:rsidRPr="00EA389A" w:rsidRDefault="009812DE" w:rsidP="001D0E4B">
      <w:pPr>
        <w:pStyle w:val="Prrafodelista"/>
        <w:numPr>
          <w:ilvl w:val="0"/>
          <w:numId w:val="4"/>
        </w:numPr>
        <w:shd w:val="clear" w:color="auto" w:fill="FFFFFF" w:themeFill="background1"/>
        <w:spacing w:after="0" w:line="240" w:lineRule="auto"/>
        <w:ind w:left="993" w:hanging="993"/>
        <w:jc w:val="both"/>
        <w:rPr>
          <w:rFonts w:ascii="Verdana" w:hAnsi="Verdana"/>
        </w:rPr>
      </w:pPr>
      <w:r w:rsidRPr="006139D9">
        <w:rPr>
          <w:rFonts w:ascii="Verdana" w:hAnsi="Verdana"/>
        </w:rPr>
        <w:t>Anexo N_2</w:t>
      </w:r>
      <w:r w:rsidR="005021CB" w:rsidRPr="006139D9">
        <w:rPr>
          <w:rFonts w:ascii="Verdana" w:hAnsi="Verdana"/>
        </w:rPr>
        <w:t>3</w:t>
      </w:r>
      <w:r w:rsidRPr="006139D9">
        <w:rPr>
          <w:rFonts w:ascii="Verdana" w:hAnsi="Verdana"/>
        </w:rPr>
        <w:t xml:space="preserve"> - </w:t>
      </w:r>
      <w:r w:rsidRPr="00EA389A">
        <w:rPr>
          <w:rFonts w:ascii="Verdana" w:hAnsi="Verdana"/>
        </w:rPr>
        <w:t>Beneficios a empleados y plan de activos</w:t>
      </w:r>
    </w:p>
    <w:p w14:paraId="4E92126D" w14:textId="2D728836" w:rsidR="009812DE" w:rsidRPr="006139D9" w:rsidRDefault="009812DE" w:rsidP="001D0E4B">
      <w:pPr>
        <w:pStyle w:val="Prrafodelista"/>
        <w:numPr>
          <w:ilvl w:val="0"/>
          <w:numId w:val="4"/>
        </w:numPr>
        <w:shd w:val="clear" w:color="auto" w:fill="FFFFFF" w:themeFill="background1"/>
        <w:spacing w:after="0" w:line="240" w:lineRule="auto"/>
        <w:ind w:left="993" w:hanging="993"/>
        <w:jc w:val="both"/>
        <w:rPr>
          <w:rFonts w:ascii="Verdana" w:hAnsi="Verdana"/>
        </w:rPr>
      </w:pPr>
      <w:r w:rsidRPr="006139D9">
        <w:rPr>
          <w:rFonts w:ascii="Verdana" w:hAnsi="Verdana"/>
        </w:rPr>
        <w:t>Anexo N_2</w:t>
      </w:r>
      <w:r w:rsidR="005021CB" w:rsidRPr="006139D9">
        <w:rPr>
          <w:rFonts w:ascii="Verdana" w:hAnsi="Verdana"/>
        </w:rPr>
        <w:t>4</w:t>
      </w:r>
      <w:r w:rsidRPr="006139D9">
        <w:rPr>
          <w:rFonts w:ascii="Verdana" w:hAnsi="Verdana"/>
        </w:rPr>
        <w:t xml:space="preserve"> - Provisiones</w:t>
      </w:r>
    </w:p>
    <w:p w14:paraId="54D9C07B" w14:textId="3E6DE1DF"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N_2</w:t>
      </w:r>
      <w:r w:rsidR="005021CB" w:rsidRPr="00EA389A">
        <w:rPr>
          <w:rFonts w:ascii="Verdana" w:hAnsi="Verdana"/>
        </w:rPr>
        <w:t>5</w:t>
      </w:r>
      <w:r w:rsidRPr="00EA389A">
        <w:rPr>
          <w:rFonts w:ascii="Verdana" w:hAnsi="Verdana"/>
        </w:rPr>
        <w:t xml:space="preserve"> - Otros pasivos</w:t>
      </w:r>
    </w:p>
    <w:p w14:paraId="40BA0334" w14:textId="187F059A"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N_2</w:t>
      </w:r>
      <w:r w:rsidR="005021CB" w:rsidRPr="00EA389A">
        <w:rPr>
          <w:rFonts w:ascii="Verdana" w:hAnsi="Verdana"/>
        </w:rPr>
        <w:t>6</w:t>
      </w:r>
      <w:r w:rsidRPr="00EA389A">
        <w:rPr>
          <w:rFonts w:ascii="Verdana" w:hAnsi="Verdana"/>
        </w:rPr>
        <w:t xml:space="preserve"> - Activos y pasivos contingentes</w:t>
      </w:r>
    </w:p>
    <w:p w14:paraId="3B19B789" w14:textId="5C069366"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N_2</w:t>
      </w:r>
      <w:r w:rsidR="005021CB" w:rsidRPr="00EA389A">
        <w:rPr>
          <w:rFonts w:ascii="Verdana" w:hAnsi="Verdana"/>
        </w:rPr>
        <w:t>7</w:t>
      </w:r>
      <w:r w:rsidRPr="00EA389A">
        <w:rPr>
          <w:rFonts w:ascii="Verdana" w:hAnsi="Verdana"/>
        </w:rPr>
        <w:t xml:space="preserve"> - Cuentas de orden (otras)</w:t>
      </w:r>
    </w:p>
    <w:p w14:paraId="64A2CDD9" w14:textId="0351A193"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N_2</w:t>
      </w:r>
      <w:r w:rsidR="005021CB" w:rsidRPr="00EA389A">
        <w:rPr>
          <w:rFonts w:ascii="Verdana" w:hAnsi="Verdana"/>
        </w:rPr>
        <w:t>8</w:t>
      </w:r>
      <w:r w:rsidRPr="00EA389A">
        <w:rPr>
          <w:rFonts w:ascii="Verdana" w:hAnsi="Verdana"/>
        </w:rPr>
        <w:t xml:space="preserve"> - Patrimonio</w:t>
      </w:r>
    </w:p>
    <w:p w14:paraId="54BFD7D2" w14:textId="6DB03EFE"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N_2</w:t>
      </w:r>
      <w:r w:rsidR="005021CB" w:rsidRPr="00EA389A">
        <w:rPr>
          <w:rFonts w:ascii="Verdana" w:hAnsi="Verdana"/>
        </w:rPr>
        <w:t>9</w:t>
      </w:r>
      <w:r w:rsidRPr="00EA389A">
        <w:rPr>
          <w:rFonts w:ascii="Verdana" w:hAnsi="Verdana"/>
        </w:rPr>
        <w:t xml:space="preserve"> - Ingresos</w:t>
      </w:r>
    </w:p>
    <w:p w14:paraId="5EC772E5" w14:textId="1D6D9821"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w:t>
      </w:r>
      <w:r w:rsidR="005021CB" w:rsidRPr="00EA389A">
        <w:rPr>
          <w:rFonts w:ascii="Verdana" w:hAnsi="Verdana"/>
        </w:rPr>
        <w:t>30</w:t>
      </w:r>
      <w:r w:rsidRPr="00EA389A">
        <w:rPr>
          <w:rFonts w:ascii="Verdana" w:hAnsi="Verdana"/>
        </w:rPr>
        <w:t xml:space="preserve"> - Gastos</w:t>
      </w:r>
    </w:p>
    <w:p w14:paraId="713E528C" w14:textId="1071EC27" w:rsidR="00140954"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N_3</w:t>
      </w:r>
      <w:r w:rsidR="005021CB" w:rsidRPr="00EA389A">
        <w:rPr>
          <w:rFonts w:ascii="Verdana" w:hAnsi="Verdana"/>
        </w:rPr>
        <w:t>1</w:t>
      </w:r>
      <w:r w:rsidRPr="00EA389A">
        <w:rPr>
          <w:rFonts w:ascii="Verdana" w:hAnsi="Verdana"/>
        </w:rPr>
        <w:t xml:space="preserve"> - Costos de ventas</w:t>
      </w:r>
    </w:p>
    <w:p w14:paraId="37C7725E" w14:textId="7D7D568D"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N_3</w:t>
      </w:r>
      <w:r w:rsidR="005021CB" w:rsidRPr="00EA389A">
        <w:rPr>
          <w:rFonts w:ascii="Verdana" w:hAnsi="Verdana"/>
        </w:rPr>
        <w:t>2</w:t>
      </w:r>
      <w:r w:rsidRPr="00EA389A">
        <w:rPr>
          <w:rFonts w:ascii="Verdana" w:hAnsi="Verdana"/>
        </w:rPr>
        <w:t xml:space="preserve"> - Costos de transformación</w:t>
      </w:r>
    </w:p>
    <w:p w14:paraId="797B44DB" w14:textId="4C6E5CE1"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N_3</w:t>
      </w:r>
      <w:r w:rsidR="005021CB" w:rsidRPr="00EA389A">
        <w:rPr>
          <w:rFonts w:ascii="Verdana" w:hAnsi="Verdana"/>
        </w:rPr>
        <w:t>3</w:t>
      </w:r>
      <w:r w:rsidRPr="00EA389A">
        <w:rPr>
          <w:rFonts w:ascii="Verdana" w:hAnsi="Verdana"/>
        </w:rPr>
        <w:t xml:space="preserve"> - Acuerdo de concesión</w:t>
      </w:r>
    </w:p>
    <w:p w14:paraId="090D750E" w14:textId="40EDEEBE"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N_3</w:t>
      </w:r>
      <w:r w:rsidR="005021CB" w:rsidRPr="00EA389A">
        <w:rPr>
          <w:rFonts w:ascii="Verdana" w:hAnsi="Verdana"/>
        </w:rPr>
        <w:t>4</w:t>
      </w:r>
      <w:r w:rsidRPr="00EA389A">
        <w:rPr>
          <w:rFonts w:ascii="Verdana" w:hAnsi="Verdana"/>
        </w:rPr>
        <w:t xml:space="preserve"> - </w:t>
      </w:r>
      <w:proofErr w:type="spellStart"/>
      <w:r w:rsidRPr="00EA389A">
        <w:rPr>
          <w:rFonts w:ascii="Verdana" w:hAnsi="Verdana"/>
        </w:rPr>
        <w:t>Admón</w:t>
      </w:r>
      <w:proofErr w:type="spellEnd"/>
      <w:r w:rsidRPr="00EA389A">
        <w:rPr>
          <w:rFonts w:ascii="Verdana" w:hAnsi="Verdana"/>
        </w:rPr>
        <w:t xml:space="preserve"> </w:t>
      </w:r>
      <w:proofErr w:type="spellStart"/>
      <w:r w:rsidRPr="00EA389A">
        <w:rPr>
          <w:rFonts w:ascii="Verdana" w:hAnsi="Verdana"/>
        </w:rPr>
        <w:t>Rec_de_seg_soc</w:t>
      </w:r>
      <w:proofErr w:type="spellEnd"/>
      <w:r w:rsidRPr="00EA389A">
        <w:rPr>
          <w:rFonts w:ascii="Verdana" w:hAnsi="Verdana"/>
        </w:rPr>
        <w:t xml:space="preserve"> en pensiones</w:t>
      </w:r>
    </w:p>
    <w:p w14:paraId="64505859" w14:textId="02ECC20C"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N_3</w:t>
      </w:r>
      <w:r w:rsidR="005021CB" w:rsidRPr="00EA389A">
        <w:rPr>
          <w:rFonts w:ascii="Verdana" w:hAnsi="Verdana"/>
        </w:rPr>
        <w:t>5</w:t>
      </w:r>
      <w:r w:rsidRPr="00EA389A">
        <w:rPr>
          <w:rFonts w:ascii="Verdana" w:hAnsi="Verdana"/>
        </w:rPr>
        <w:t xml:space="preserve"> </w:t>
      </w:r>
      <w:r w:rsidR="00471331" w:rsidRPr="00EA389A">
        <w:rPr>
          <w:rFonts w:ascii="Verdana" w:hAnsi="Verdana"/>
        </w:rPr>
        <w:t xml:space="preserve">- </w:t>
      </w:r>
      <w:r w:rsidRPr="00EA389A">
        <w:rPr>
          <w:rFonts w:ascii="Verdana" w:hAnsi="Verdana"/>
        </w:rPr>
        <w:t>Var tasa de cambio moneda extrajera</w:t>
      </w:r>
    </w:p>
    <w:p w14:paraId="795A4C5C" w14:textId="759F619B" w:rsidR="009812DE" w:rsidRPr="00EA389A" w:rsidRDefault="009812DE" w:rsidP="000E2940">
      <w:pPr>
        <w:pStyle w:val="Prrafodelista"/>
        <w:numPr>
          <w:ilvl w:val="0"/>
          <w:numId w:val="4"/>
        </w:numPr>
        <w:shd w:val="clear" w:color="auto" w:fill="FFFFFF" w:themeFill="background1"/>
        <w:spacing w:after="0" w:line="240" w:lineRule="auto"/>
        <w:ind w:left="993" w:hanging="993"/>
        <w:jc w:val="both"/>
        <w:rPr>
          <w:rFonts w:ascii="Verdana" w:hAnsi="Verdana"/>
        </w:rPr>
      </w:pPr>
      <w:r w:rsidRPr="00EA389A">
        <w:rPr>
          <w:rFonts w:ascii="Verdana" w:hAnsi="Verdana"/>
        </w:rPr>
        <w:t>Anexo N_3</w:t>
      </w:r>
      <w:r w:rsidR="005021CB" w:rsidRPr="00EA389A">
        <w:rPr>
          <w:rFonts w:ascii="Verdana" w:hAnsi="Verdana"/>
        </w:rPr>
        <w:t>6</w:t>
      </w:r>
      <w:r w:rsidRPr="00EA389A">
        <w:rPr>
          <w:rFonts w:ascii="Verdana" w:hAnsi="Verdana"/>
        </w:rPr>
        <w:t xml:space="preserve"> </w:t>
      </w:r>
      <w:r w:rsidR="00471331" w:rsidRPr="00EA389A">
        <w:rPr>
          <w:rFonts w:ascii="Verdana" w:hAnsi="Verdana"/>
        </w:rPr>
        <w:t xml:space="preserve">- </w:t>
      </w:r>
      <w:r w:rsidRPr="00EA389A">
        <w:rPr>
          <w:rFonts w:ascii="Verdana" w:hAnsi="Verdana"/>
        </w:rPr>
        <w:t>Impuesto a las ganancias</w:t>
      </w:r>
    </w:p>
    <w:p w14:paraId="18305332" w14:textId="77777777" w:rsidR="009812DE" w:rsidRPr="00EA389A" w:rsidRDefault="009812DE" w:rsidP="000E2940">
      <w:pPr>
        <w:pStyle w:val="Prrafodelista"/>
        <w:shd w:val="clear" w:color="auto" w:fill="FFFFFF" w:themeFill="background1"/>
        <w:spacing w:after="0" w:line="240" w:lineRule="auto"/>
        <w:ind w:left="0"/>
        <w:jc w:val="both"/>
        <w:rPr>
          <w:rFonts w:ascii="Verdana" w:hAnsi="Verdana"/>
        </w:rPr>
      </w:pPr>
    </w:p>
    <w:p w14:paraId="48D8DAE9" w14:textId="77777777" w:rsidR="000D408B" w:rsidRPr="00EA389A" w:rsidRDefault="000D408B" w:rsidP="000E2940">
      <w:pPr>
        <w:shd w:val="clear" w:color="auto" w:fill="FFFFFF" w:themeFill="background1"/>
        <w:spacing w:after="0" w:line="240" w:lineRule="auto"/>
        <w:jc w:val="both"/>
        <w:rPr>
          <w:rFonts w:ascii="Verdana" w:hAnsi="Verdana"/>
        </w:rPr>
      </w:pPr>
      <w:r w:rsidRPr="00EA389A">
        <w:rPr>
          <w:rFonts w:ascii="Verdana" w:hAnsi="Verdana"/>
        </w:rPr>
        <w:t xml:space="preserve">Aquellas entidades y empresas que dispongan de aplicativos u otras bases de datos con mayor detalle de información o diseños diferentes, podrán omitir, ajustar o complementar el uso de estos anexos para la preparación de sus notas. </w:t>
      </w:r>
    </w:p>
    <w:p w14:paraId="00D6BB37" w14:textId="77777777" w:rsidR="000D408B" w:rsidRPr="00EA389A" w:rsidRDefault="000D408B" w:rsidP="000E2940">
      <w:pPr>
        <w:pStyle w:val="Prrafodelista"/>
        <w:shd w:val="clear" w:color="auto" w:fill="FFFFFF" w:themeFill="background1"/>
        <w:spacing w:after="0" w:line="240" w:lineRule="auto"/>
        <w:ind w:left="0"/>
        <w:jc w:val="both"/>
        <w:rPr>
          <w:rFonts w:ascii="Verdana" w:hAnsi="Verdana"/>
        </w:rPr>
      </w:pPr>
    </w:p>
    <w:p w14:paraId="10F45CB0" w14:textId="6D8C3BF1" w:rsidR="009812DE" w:rsidRPr="00EA389A" w:rsidRDefault="009812DE" w:rsidP="000E2940">
      <w:pPr>
        <w:shd w:val="clear" w:color="auto" w:fill="FFFFFF" w:themeFill="background1"/>
        <w:spacing w:after="0" w:line="240" w:lineRule="auto"/>
        <w:jc w:val="both"/>
        <w:rPr>
          <w:rFonts w:ascii="Verdana" w:hAnsi="Verdana"/>
        </w:rPr>
      </w:pPr>
      <w:r w:rsidRPr="00EA389A">
        <w:rPr>
          <w:rFonts w:ascii="Verdana" w:hAnsi="Verdana"/>
        </w:rPr>
        <w:t>La “</w:t>
      </w:r>
      <w:r w:rsidR="003B5DC9" w:rsidRPr="00EA389A">
        <w:rPr>
          <w:rFonts w:ascii="Verdana" w:hAnsi="Verdana"/>
        </w:rPr>
        <w:t>Plantilla para la preparación y presentación uniforme de las notas a los estados financieros</w:t>
      </w:r>
      <w:r w:rsidRPr="00EA389A">
        <w:rPr>
          <w:rFonts w:ascii="Verdana" w:hAnsi="Verdana"/>
        </w:rPr>
        <w:t>” en formato Word y los “Anexos de apoyo para la preparación de las notas a los estados financieros” en formato Excel, debidamente actualizados, se publicarán para su descarga en la web institucional: www.contaduria.gov.co como anexos de la</w:t>
      </w:r>
      <w:r w:rsidR="00037BE2">
        <w:rPr>
          <w:rFonts w:ascii="Verdana" w:hAnsi="Verdana"/>
        </w:rPr>
        <w:t xml:space="preserve"> presente</w:t>
      </w:r>
      <w:r w:rsidRPr="00EA389A">
        <w:rPr>
          <w:rFonts w:ascii="Verdana" w:hAnsi="Verdana"/>
        </w:rPr>
        <w:t xml:space="preserve"> resolución.</w:t>
      </w:r>
    </w:p>
    <w:p w14:paraId="017801C2" w14:textId="77777777" w:rsidR="009812DE" w:rsidRPr="00EA389A" w:rsidRDefault="009812DE" w:rsidP="000E2940">
      <w:pPr>
        <w:shd w:val="clear" w:color="auto" w:fill="FFFFFF" w:themeFill="background1"/>
        <w:spacing w:after="0" w:line="240" w:lineRule="auto"/>
        <w:jc w:val="both"/>
        <w:rPr>
          <w:rFonts w:ascii="Verdana" w:hAnsi="Verdana"/>
        </w:rPr>
      </w:pPr>
    </w:p>
    <w:p w14:paraId="73E81683" w14:textId="2EB5C625" w:rsidR="009812DE" w:rsidRPr="00EA389A" w:rsidRDefault="009812DE" w:rsidP="000E2940">
      <w:pPr>
        <w:spacing w:after="0" w:line="240" w:lineRule="auto"/>
        <w:jc w:val="both"/>
        <w:rPr>
          <w:rFonts w:ascii="Verdana" w:hAnsi="Verdana"/>
        </w:rPr>
      </w:pPr>
      <w:r w:rsidRPr="00EA389A">
        <w:rPr>
          <w:rFonts w:ascii="Verdana" w:hAnsi="Verdana"/>
          <w:b/>
          <w:bCs/>
        </w:rPr>
        <w:t>ARTÍCULO 7°. CATEGOR</w:t>
      </w:r>
      <w:r w:rsidR="00471331" w:rsidRPr="00EA389A">
        <w:rPr>
          <w:rFonts w:ascii="Verdana" w:hAnsi="Verdana"/>
          <w:b/>
          <w:bCs/>
        </w:rPr>
        <w:t>ÍA</w:t>
      </w:r>
      <w:r w:rsidRPr="00EA389A">
        <w:rPr>
          <w:rFonts w:ascii="Verdana" w:hAnsi="Verdana"/>
          <w:b/>
          <w:bCs/>
        </w:rPr>
        <w:t xml:space="preserve"> EVALUACIÓN </w:t>
      </w:r>
      <w:r w:rsidR="00887CAB" w:rsidRPr="00EA389A">
        <w:rPr>
          <w:rFonts w:ascii="Verdana" w:hAnsi="Verdana"/>
          <w:b/>
          <w:bCs/>
        </w:rPr>
        <w:t xml:space="preserve">DE </w:t>
      </w:r>
      <w:r w:rsidRPr="00EA389A">
        <w:rPr>
          <w:rFonts w:ascii="Verdana" w:hAnsi="Verdana"/>
          <w:b/>
          <w:bCs/>
        </w:rPr>
        <w:t xml:space="preserve">CONTROL INTERNO CONTABLE (ECIC). </w:t>
      </w:r>
      <w:r w:rsidRPr="00EA389A">
        <w:rPr>
          <w:rFonts w:ascii="Verdana" w:hAnsi="Verdana"/>
        </w:rPr>
        <w:t xml:space="preserve">Esta categoría se relaciona con la información </w:t>
      </w:r>
      <w:r w:rsidRPr="00EA389A">
        <w:rPr>
          <w:rFonts w:ascii="Verdana" w:hAnsi="Verdana"/>
        </w:rPr>
        <w:lastRenderedPageBreak/>
        <w:t xml:space="preserve">correspondiente al Procedimiento </w:t>
      </w:r>
      <w:r w:rsidR="007C7499">
        <w:rPr>
          <w:rFonts w:ascii="Verdana" w:hAnsi="Verdana"/>
        </w:rPr>
        <w:t>T</w:t>
      </w:r>
      <w:r w:rsidRPr="00EA389A">
        <w:rPr>
          <w:rFonts w:ascii="Verdana" w:hAnsi="Verdana"/>
        </w:rPr>
        <w:t>ransversal para la Evaluación del Control Interno Contable que hace parte del RCP.</w:t>
      </w:r>
    </w:p>
    <w:p w14:paraId="29B491C9" w14:textId="77777777" w:rsidR="009812DE" w:rsidRPr="00EA389A" w:rsidRDefault="009812DE" w:rsidP="000E2940">
      <w:pPr>
        <w:spacing w:after="0" w:line="240" w:lineRule="auto"/>
        <w:jc w:val="both"/>
        <w:rPr>
          <w:rFonts w:ascii="Verdana" w:hAnsi="Verdana"/>
        </w:rPr>
      </w:pPr>
    </w:p>
    <w:p w14:paraId="0F498425" w14:textId="06A5D3FA" w:rsidR="009812DE" w:rsidRPr="00EA389A" w:rsidRDefault="009812DE" w:rsidP="000E2940">
      <w:pPr>
        <w:spacing w:after="0" w:line="240" w:lineRule="auto"/>
        <w:jc w:val="both"/>
        <w:rPr>
          <w:rFonts w:ascii="Verdana" w:hAnsi="Verdana"/>
        </w:rPr>
      </w:pPr>
      <w:r w:rsidRPr="00EA389A">
        <w:rPr>
          <w:rFonts w:ascii="Verdana" w:hAnsi="Verdana"/>
          <w:b/>
          <w:bCs/>
        </w:rPr>
        <w:t>ARTÍCULO 8°. FORMULARIO DE LA CATEGOR</w:t>
      </w:r>
      <w:r w:rsidR="00471331" w:rsidRPr="00EA389A">
        <w:rPr>
          <w:rFonts w:ascii="Verdana" w:hAnsi="Verdana"/>
          <w:b/>
          <w:bCs/>
        </w:rPr>
        <w:t>Í</w:t>
      </w:r>
      <w:r w:rsidRPr="00EA389A">
        <w:rPr>
          <w:rFonts w:ascii="Verdana" w:hAnsi="Verdana"/>
          <w:b/>
          <w:bCs/>
        </w:rPr>
        <w:t xml:space="preserve">A ECIC. </w:t>
      </w:r>
      <w:r w:rsidRPr="00EA389A">
        <w:rPr>
          <w:rFonts w:ascii="Verdana" w:hAnsi="Verdana"/>
        </w:rPr>
        <w:t>Es el medio a través del cual las entidades públicas reportan la información que se relaciona con la evaluación de control interno contable. Para el efecto, se define en formulario CGN2016_EVALUACION_CONTROL_INTERNO_CONTABLE.</w:t>
      </w:r>
    </w:p>
    <w:p w14:paraId="125F34CB" w14:textId="77777777" w:rsidR="009812DE" w:rsidRPr="00EA389A" w:rsidRDefault="009812DE" w:rsidP="000E2940">
      <w:pPr>
        <w:spacing w:after="0" w:line="240" w:lineRule="auto"/>
        <w:jc w:val="both"/>
        <w:rPr>
          <w:rFonts w:ascii="Verdana" w:hAnsi="Verdana"/>
        </w:rPr>
      </w:pPr>
    </w:p>
    <w:p w14:paraId="69790FCF" w14:textId="7934F896" w:rsidR="009812DE" w:rsidRPr="00EA389A" w:rsidRDefault="009812DE" w:rsidP="000E2940">
      <w:pPr>
        <w:spacing w:after="0" w:line="240" w:lineRule="auto"/>
        <w:jc w:val="both"/>
        <w:rPr>
          <w:rFonts w:ascii="Verdana" w:hAnsi="Verdana"/>
          <w:strike/>
        </w:rPr>
      </w:pPr>
      <w:r w:rsidRPr="00EA389A">
        <w:rPr>
          <w:rFonts w:ascii="Verdana" w:hAnsi="Verdana"/>
        </w:rPr>
        <w:t xml:space="preserve">Los aspectos relacionados con el diligenciamiento de este formulario se establecen en la </w:t>
      </w:r>
      <w:r w:rsidR="007C7499">
        <w:rPr>
          <w:rFonts w:ascii="Verdana" w:hAnsi="Verdana"/>
        </w:rPr>
        <w:t>“</w:t>
      </w:r>
      <w:r w:rsidRPr="00EA389A">
        <w:rPr>
          <w:rFonts w:ascii="Verdana" w:hAnsi="Verdana"/>
        </w:rPr>
        <w:t>Guía para el reporte categoría evaluación de control interno contable</w:t>
      </w:r>
      <w:r w:rsidR="007C7499">
        <w:rPr>
          <w:rFonts w:ascii="Verdana" w:hAnsi="Verdana"/>
        </w:rPr>
        <w:t>”</w:t>
      </w:r>
      <w:r w:rsidRPr="00EA389A">
        <w:rPr>
          <w:rFonts w:ascii="Verdana" w:hAnsi="Verdana"/>
        </w:rPr>
        <w:t xml:space="preserve">, contenida </w:t>
      </w:r>
      <w:r w:rsidR="003B5DC9" w:rsidRPr="00EA389A">
        <w:rPr>
          <w:rFonts w:ascii="Verdana" w:hAnsi="Verdana"/>
        </w:rPr>
        <w:t>como parte de las</w:t>
      </w:r>
      <w:r w:rsidRPr="00EA389A">
        <w:rPr>
          <w:rFonts w:ascii="Verdana" w:hAnsi="Verdana"/>
        </w:rPr>
        <w:t xml:space="preserve"> guías para la elaboración de los formularios CHIP categorías CGN.</w:t>
      </w:r>
    </w:p>
    <w:p w14:paraId="6E1E75C7" w14:textId="77777777" w:rsidR="009812DE" w:rsidRPr="00EA389A" w:rsidRDefault="009812DE" w:rsidP="000E2940">
      <w:pPr>
        <w:spacing w:after="0" w:line="240" w:lineRule="auto"/>
        <w:jc w:val="both"/>
        <w:rPr>
          <w:rFonts w:ascii="Verdana" w:hAnsi="Verdana"/>
        </w:rPr>
      </w:pPr>
    </w:p>
    <w:p w14:paraId="2199353A" w14:textId="4E754F7D" w:rsidR="009812DE" w:rsidRPr="00EA389A" w:rsidRDefault="009812DE" w:rsidP="000E2940">
      <w:pPr>
        <w:spacing w:after="0" w:line="240" w:lineRule="auto"/>
        <w:jc w:val="both"/>
        <w:rPr>
          <w:rFonts w:ascii="Verdana" w:hAnsi="Verdana"/>
        </w:rPr>
      </w:pPr>
      <w:r w:rsidRPr="00EA389A">
        <w:rPr>
          <w:rFonts w:ascii="Verdana" w:hAnsi="Verdana"/>
          <w:b/>
          <w:bCs/>
        </w:rPr>
        <w:t>ARTÍCULO 9°. CATEGOR</w:t>
      </w:r>
      <w:r w:rsidR="00471331" w:rsidRPr="00EA389A">
        <w:rPr>
          <w:rFonts w:ascii="Verdana" w:hAnsi="Verdana"/>
          <w:b/>
          <w:bCs/>
        </w:rPr>
        <w:t>Í</w:t>
      </w:r>
      <w:r w:rsidRPr="00EA389A">
        <w:rPr>
          <w:rFonts w:ascii="Verdana" w:hAnsi="Verdana"/>
          <w:b/>
          <w:bCs/>
        </w:rPr>
        <w:t>A BOLET</w:t>
      </w:r>
      <w:r w:rsidR="003B4D6F" w:rsidRPr="00EA389A">
        <w:rPr>
          <w:rFonts w:ascii="Verdana" w:hAnsi="Verdana"/>
          <w:b/>
          <w:bCs/>
        </w:rPr>
        <w:t>Í</w:t>
      </w:r>
      <w:r w:rsidRPr="00EA389A">
        <w:rPr>
          <w:rFonts w:ascii="Verdana" w:hAnsi="Verdana"/>
          <w:b/>
          <w:bCs/>
        </w:rPr>
        <w:t xml:space="preserve">N DE DEUDORES MOROSOS DEL ESTADO (BDME). </w:t>
      </w:r>
      <w:r w:rsidRPr="00EA389A">
        <w:rPr>
          <w:rFonts w:ascii="Verdana" w:hAnsi="Verdana"/>
        </w:rPr>
        <w:t xml:space="preserve">Esta categoría se relaciona con las deudas morosas (Ley 901 de 2004) y con el incumplimiento de acuerdos de pago (Ley 1066 de 2006), desarrollos contemplados en la Resolución </w:t>
      </w:r>
      <w:r w:rsidR="009D0066">
        <w:rPr>
          <w:rFonts w:ascii="Verdana" w:hAnsi="Verdana"/>
        </w:rPr>
        <w:t>°</w:t>
      </w:r>
      <w:r w:rsidR="0061700F" w:rsidRPr="00EA389A">
        <w:rPr>
          <w:rFonts w:ascii="Verdana" w:hAnsi="Verdana"/>
        </w:rPr>
        <w:t xml:space="preserve"> </w:t>
      </w:r>
      <w:r w:rsidRPr="00EA389A">
        <w:rPr>
          <w:rFonts w:ascii="Verdana" w:hAnsi="Verdana"/>
        </w:rPr>
        <w:t>037 de 2018 expedida por la CGN y sus modificaciones.</w:t>
      </w:r>
    </w:p>
    <w:p w14:paraId="0D9BB522" w14:textId="77777777" w:rsidR="009812DE" w:rsidRPr="00EA389A" w:rsidRDefault="009812DE" w:rsidP="000E2940">
      <w:pPr>
        <w:spacing w:after="0" w:line="240" w:lineRule="auto"/>
        <w:jc w:val="both"/>
        <w:rPr>
          <w:rFonts w:ascii="Verdana" w:hAnsi="Verdana"/>
        </w:rPr>
      </w:pPr>
    </w:p>
    <w:p w14:paraId="2980A2A2" w14:textId="7EC736BF" w:rsidR="009812DE" w:rsidRPr="00EA389A" w:rsidRDefault="009812DE" w:rsidP="000E2940">
      <w:pPr>
        <w:spacing w:after="0" w:line="240" w:lineRule="auto"/>
        <w:jc w:val="both"/>
        <w:rPr>
          <w:rFonts w:ascii="Verdana" w:hAnsi="Verdana"/>
          <w:strike/>
        </w:rPr>
      </w:pPr>
      <w:r w:rsidRPr="00EA389A">
        <w:rPr>
          <w:rFonts w:ascii="Verdana" w:hAnsi="Verdana"/>
          <w:b/>
          <w:bCs/>
        </w:rPr>
        <w:t>ARTÍCULO 10°. FORMULARIOS DE LA CATEGOR</w:t>
      </w:r>
      <w:r w:rsidR="003B4D6F" w:rsidRPr="00EA389A">
        <w:rPr>
          <w:rFonts w:ascii="Verdana" w:hAnsi="Verdana"/>
          <w:b/>
          <w:bCs/>
        </w:rPr>
        <w:t>Í</w:t>
      </w:r>
      <w:r w:rsidRPr="00EA389A">
        <w:rPr>
          <w:rFonts w:ascii="Verdana" w:hAnsi="Verdana"/>
          <w:b/>
          <w:bCs/>
        </w:rPr>
        <w:t xml:space="preserve">A CONTABLE BDME. </w:t>
      </w:r>
      <w:r w:rsidRPr="00EA389A">
        <w:rPr>
          <w:rFonts w:ascii="Verdana" w:hAnsi="Verdana"/>
        </w:rPr>
        <w:t>Son los medios a través de los cuales las entidades públicas reportan la información que se relaciona con los deudores morosos del estado y los incumplimientos de pago respectivos. Teniendo en cuenta el objetivo de esta categoría, se han definido los siguientes formularios para el reporte de la información:</w:t>
      </w:r>
    </w:p>
    <w:p w14:paraId="46EBED0E" w14:textId="77777777" w:rsidR="009812DE" w:rsidRPr="00EA389A" w:rsidRDefault="009812DE" w:rsidP="000E2940">
      <w:pPr>
        <w:spacing w:after="0" w:line="240" w:lineRule="auto"/>
        <w:jc w:val="both"/>
        <w:rPr>
          <w:rFonts w:ascii="Verdana" w:hAnsi="Verdana"/>
        </w:rPr>
      </w:pPr>
    </w:p>
    <w:p w14:paraId="28456428" w14:textId="77777777" w:rsidR="009812DE" w:rsidRPr="00EA389A" w:rsidRDefault="009812DE" w:rsidP="000E2940">
      <w:pPr>
        <w:pStyle w:val="Prrafodelista"/>
        <w:numPr>
          <w:ilvl w:val="0"/>
          <w:numId w:val="1"/>
        </w:numPr>
        <w:spacing w:after="0" w:line="240" w:lineRule="auto"/>
        <w:ind w:left="426" w:hanging="426"/>
        <w:jc w:val="both"/>
        <w:rPr>
          <w:rFonts w:ascii="Verdana" w:hAnsi="Verdana"/>
        </w:rPr>
      </w:pPr>
      <w:r w:rsidRPr="00EA389A">
        <w:rPr>
          <w:rFonts w:ascii="Verdana" w:hAnsi="Verdana"/>
        </w:rPr>
        <w:t>CGN2009_BDME_REPORTE_SEMESTRAL</w:t>
      </w:r>
    </w:p>
    <w:p w14:paraId="0920130C" w14:textId="77777777" w:rsidR="009812DE" w:rsidRPr="00EA389A" w:rsidRDefault="009812DE" w:rsidP="000E2940">
      <w:pPr>
        <w:pStyle w:val="Prrafodelista"/>
        <w:numPr>
          <w:ilvl w:val="0"/>
          <w:numId w:val="1"/>
        </w:numPr>
        <w:spacing w:after="0" w:line="240" w:lineRule="auto"/>
        <w:ind w:left="426" w:hanging="426"/>
        <w:jc w:val="both"/>
        <w:rPr>
          <w:rFonts w:ascii="Verdana" w:hAnsi="Verdana"/>
        </w:rPr>
      </w:pPr>
      <w:r w:rsidRPr="00EA389A">
        <w:rPr>
          <w:rFonts w:ascii="Verdana" w:hAnsi="Verdana"/>
        </w:rPr>
        <w:t>CGN2009_BDME_INCUMPLIMIENTOS_ACUERDOS_PAGO_SEMESTRAL</w:t>
      </w:r>
    </w:p>
    <w:p w14:paraId="74E96B1E" w14:textId="77777777" w:rsidR="004F1EE5" w:rsidRPr="00EA389A" w:rsidRDefault="009812DE" w:rsidP="000E2940">
      <w:pPr>
        <w:pStyle w:val="Prrafodelista"/>
        <w:numPr>
          <w:ilvl w:val="0"/>
          <w:numId w:val="1"/>
        </w:numPr>
        <w:spacing w:after="0" w:line="240" w:lineRule="auto"/>
        <w:ind w:left="426" w:hanging="426"/>
        <w:jc w:val="both"/>
        <w:rPr>
          <w:rFonts w:ascii="Verdana" w:hAnsi="Verdana"/>
        </w:rPr>
      </w:pPr>
      <w:r w:rsidRPr="00EA389A">
        <w:rPr>
          <w:rFonts w:ascii="Verdana" w:hAnsi="Verdana"/>
        </w:rPr>
        <w:t>CGN2009_BDME_RETIROS</w:t>
      </w:r>
    </w:p>
    <w:p w14:paraId="2E8775E6" w14:textId="7370D5BC" w:rsidR="009812DE" w:rsidRPr="00EA389A" w:rsidRDefault="004F1EE5" w:rsidP="000E2940">
      <w:pPr>
        <w:pStyle w:val="Prrafodelista"/>
        <w:numPr>
          <w:ilvl w:val="0"/>
          <w:numId w:val="1"/>
        </w:numPr>
        <w:spacing w:after="0" w:line="240" w:lineRule="auto"/>
        <w:ind w:left="426" w:hanging="426"/>
        <w:jc w:val="both"/>
        <w:rPr>
          <w:rFonts w:ascii="Verdana" w:hAnsi="Verdana"/>
        </w:rPr>
      </w:pPr>
      <w:r w:rsidRPr="00EA389A">
        <w:rPr>
          <w:rFonts w:ascii="Verdana" w:hAnsi="Verdana"/>
        </w:rPr>
        <w:t>CGN2009_BDME</w:t>
      </w:r>
      <w:r w:rsidR="009812DE" w:rsidRPr="00EA389A">
        <w:rPr>
          <w:rFonts w:ascii="Verdana" w:hAnsi="Verdana"/>
        </w:rPr>
        <w:t>_CANCELACION_ACUERDO_DE_PAGO</w:t>
      </w:r>
    </w:p>
    <w:p w14:paraId="52D1775E" w14:textId="77777777" w:rsidR="00A80A8F" w:rsidRPr="00EA389A" w:rsidRDefault="009812DE" w:rsidP="000E2940">
      <w:pPr>
        <w:pStyle w:val="Prrafodelista"/>
        <w:numPr>
          <w:ilvl w:val="0"/>
          <w:numId w:val="1"/>
        </w:numPr>
        <w:spacing w:after="0" w:line="240" w:lineRule="auto"/>
        <w:ind w:left="426" w:hanging="426"/>
        <w:jc w:val="both"/>
        <w:rPr>
          <w:rFonts w:ascii="Verdana" w:hAnsi="Verdana"/>
        </w:rPr>
      </w:pPr>
      <w:r w:rsidRPr="00EA389A">
        <w:rPr>
          <w:rFonts w:ascii="Verdana" w:hAnsi="Verdana"/>
        </w:rPr>
        <w:t>CGN2011_BDME_ACTUALIZACIÓN</w:t>
      </w:r>
    </w:p>
    <w:p w14:paraId="7C63FAFE" w14:textId="77777777" w:rsidR="00A80A8F" w:rsidRPr="00EA389A" w:rsidRDefault="00A80A8F" w:rsidP="000E2940">
      <w:pPr>
        <w:spacing w:after="0" w:line="240" w:lineRule="auto"/>
        <w:jc w:val="both"/>
        <w:rPr>
          <w:rFonts w:ascii="Verdana" w:hAnsi="Verdana"/>
        </w:rPr>
      </w:pPr>
    </w:p>
    <w:p w14:paraId="68766689" w14:textId="67B5B0FC" w:rsidR="009812DE" w:rsidRPr="00EA389A" w:rsidRDefault="009812DE" w:rsidP="000E2940">
      <w:pPr>
        <w:spacing w:after="0" w:line="240" w:lineRule="auto"/>
        <w:jc w:val="both"/>
        <w:rPr>
          <w:rFonts w:ascii="Verdana" w:hAnsi="Verdana"/>
        </w:rPr>
      </w:pPr>
      <w:r w:rsidRPr="00EA389A">
        <w:rPr>
          <w:rFonts w:ascii="Verdana" w:hAnsi="Verdana"/>
        </w:rPr>
        <w:t xml:space="preserve">Los aspectos relacionados con el diligenciamiento de estos formularios se establecen en la </w:t>
      </w:r>
      <w:r w:rsidR="009D411F">
        <w:rPr>
          <w:rFonts w:ascii="Verdana" w:hAnsi="Verdana"/>
        </w:rPr>
        <w:t>“</w:t>
      </w:r>
      <w:r w:rsidRPr="00EA389A">
        <w:rPr>
          <w:rFonts w:ascii="Verdana" w:hAnsi="Verdana"/>
        </w:rPr>
        <w:t>Guía para la elaboración de los formularios CHIP categoría BDME</w:t>
      </w:r>
      <w:r w:rsidR="009D411F">
        <w:rPr>
          <w:rFonts w:ascii="Verdana" w:hAnsi="Verdana"/>
        </w:rPr>
        <w:t>”</w:t>
      </w:r>
      <w:r w:rsidRPr="00EA389A">
        <w:rPr>
          <w:rFonts w:ascii="Verdana" w:hAnsi="Verdana"/>
        </w:rPr>
        <w:t>.</w:t>
      </w:r>
    </w:p>
    <w:p w14:paraId="5312D230" w14:textId="77777777" w:rsidR="009812DE" w:rsidRPr="00EA389A" w:rsidRDefault="009812DE" w:rsidP="000E2940">
      <w:pPr>
        <w:spacing w:after="0" w:line="240" w:lineRule="auto"/>
        <w:jc w:val="both"/>
        <w:rPr>
          <w:rFonts w:ascii="Verdana" w:hAnsi="Verdana"/>
        </w:rPr>
      </w:pPr>
    </w:p>
    <w:p w14:paraId="14166CA8" w14:textId="0FDCFD5B" w:rsidR="009812DE" w:rsidRPr="00EA389A" w:rsidRDefault="009812DE" w:rsidP="000E2940">
      <w:pPr>
        <w:spacing w:after="0" w:line="240" w:lineRule="auto"/>
        <w:jc w:val="both"/>
        <w:rPr>
          <w:rFonts w:ascii="Verdana" w:hAnsi="Verdana"/>
        </w:rPr>
      </w:pPr>
      <w:r w:rsidRPr="00EA389A">
        <w:rPr>
          <w:rFonts w:ascii="Verdana" w:hAnsi="Verdana"/>
          <w:b/>
          <w:bCs/>
        </w:rPr>
        <w:t xml:space="preserve">ARTÍCULO 11°. PLAZOS PARA EL REPORTE DE LA INFORMACIÓN A LA CGN. </w:t>
      </w:r>
      <w:r w:rsidRPr="00EA389A">
        <w:rPr>
          <w:rFonts w:ascii="Verdana" w:hAnsi="Verdana"/>
        </w:rPr>
        <w:t xml:space="preserve"> Las entidades públicas incluidas en el ámbito de aplicación de la presente </w:t>
      </w:r>
      <w:r w:rsidR="0068669B">
        <w:rPr>
          <w:rFonts w:ascii="Verdana" w:hAnsi="Verdana"/>
        </w:rPr>
        <w:t>r</w:t>
      </w:r>
      <w:r w:rsidRPr="00EA389A">
        <w:rPr>
          <w:rFonts w:ascii="Verdana" w:hAnsi="Verdana"/>
        </w:rPr>
        <w:t xml:space="preserve">esolución reportarán la información de acuerdo con las siguientes fechas de corte y presentación: </w:t>
      </w:r>
    </w:p>
    <w:p w14:paraId="1ABC8254" w14:textId="77777777" w:rsidR="001062EB" w:rsidRPr="00EA389A" w:rsidRDefault="001062EB" w:rsidP="000E2940">
      <w:pPr>
        <w:spacing w:after="0" w:line="240" w:lineRule="auto"/>
        <w:jc w:val="both"/>
        <w:rPr>
          <w:rFonts w:ascii="Verdana" w:hAnsi="Verdana"/>
        </w:rPr>
      </w:pP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4"/>
        <w:gridCol w:w="1701"/>
        <w:gridCol w:w="2067"/>
      </w:tblGrid>
      <w:tr w:rsidR="009812DE" w:rsidRPr="00EA389A" w14:paraId="168CA203" w14:textId="77777777" w:rsidTr="00A80A8F">
        <w:trPr>
          <w:trHeight w:val="504"/>
          <w:tblHeader/>
          <w:jc w:val="center"/>
        </w:trPr>
        <w:tc>
          <w:tcPr>
            <w:tcW w:w="6374" w:type="dxa"/>
            <w:shd w:val="clear" w:color="auto" w:fill="auto"/>
            <w:noWrap/>
            <w:vAlign w:val="center"/>
            <w:hideMark/>
          </w:tcPr>
          <w:p w14:paraId="011CFA83" w14:textId="77777777" w:rsidR="009812DE" w:rsidRPr="00F922E2" w:rsidRDefault="009812DE" w:rsidP="000E2940">
            <w:pPr>
              <w:spacing w:after="0" w:line="240" w:lineRule="auto"/>
              <w:jc w:val="center"/>
              <w:rPr>
                <w:rFonts w:ascii="Verdana" w:hAnsi="Verdana"/>
                <w:b/>
                <w:color w:val="000000"/>
                <w:kern w:val="0"/>
                <w:sz w:val="16"/>
                <w14:ligatures w14:val="none"/>
              </w:rPr>
            </w:pPr>
            <w:r w:rsidRPr="00F922E2">
              <w:rPr>
                <w:rFonts w:ascii="Verdana" w:hAnsi="Verdana"/>
                <w:b/>
                <w:color w:val="000000"/>
                <w:kern w:val="0"/>
                <w:sz w:val="16"/>
                <w14:ligatures w14:val="none"/>
              </w:rPr>
              <w:t>Categoría</w:t>
            </w:r>
          </w:p>
        </w:tc>
        <w:tc>
          <w:tcPr>
            <w:tcW w:w="1701" w:type="dxa"/>
            <w:shd w:val="clear" w:color="auto" w:fill="auto"/>
            <w:vAlign w:val="center"/>
            <w:hideMark/>
          </w:tcPr>
          <w:p w14:paraId="4FC31D40" w14:textId="77777777" w:rsidR="009812DE" w:rsidRPr="00F922E2" w:rsidRDefault="009812DE" w:rsidP="000E2940">
            <w:pPr>
              <w:spacing w:after="0" w:line="240" w:lineRule="auto"/>
              <w:jc w:val="center"/>
              <w:rPr>
                <w:rFonts w:ascii="Verdana" w:hAnsi="Verdana"/>
                <w:b/>
                <w:color w:val="000000"/>
                <w:kern w:val="0"/>
                <w:sz w:val="16"/>
                <w14:ligatures w14:val="none"/>
              </w:rPr>
            </w:pPr>
            <w:r w:rsidRPr="00F922E2">
              <w:rPr>
                <w:rFonts w:ascii="Verdana" w:hAnsi="Verdana"/>
                <w:b/>
                <w:color w:val="000000"/>
                <w:kern w:val="0"/>
                <w:sz w:val="16"/>
                <w14:ligatures w14:val="none"/>
              </w:rPr>
              <w:t>Fecha de corte</w:t>
            </w:r>
          </w:p>
        </w:tc>
        <w:tc>
          <w:tcPr>
            <w:tcW w:w="2067" w:type="dxa"/>
            <w:shd w:val="clear" w:color="auto" w:fill="auto"/>
            <w:vAlign w:val="center"/>
            <w:hideMark/>
          </w:tcPr>
          <w:p w14:paraId="0B45F9CB" w14:textId="77777777" w:rsidR="009812DE" w:rsidRPr="00F922E2" w:rsidRDefault="009812DE" w:rsidP="000E2940">
            <w:pPr>
              <w:spacing w:after="0" w:line="240" w:lineRule="auto"/>
              <w:jc w:val="center"/>
              <w:rPr>
                <w:rFonts w:ascii="Verdana" w:hAnsi="Verdana"/>
                <w:b/>
                <w:color w:val="000000"/>
                <w:kern w:val="0"/>
                <w:sz w:val="16"/>
                <w14:ligatures w14:val="none"/>
              </w:rPr>
            </w:pPr>
            <w:r w:rsidRPr="00F922E2">
              <w:rPr>
                <w:rFonts w:ascii="Verdana" w:hAnsi="Verdana"/>
                <w:b/>
                <w:color w:val="000000"/>
                <w:kern w:val="0"/>
                <w:sz w:val="16"/>
                <w14:ligatures w14:val="none"/>
              </w:rPr>
              <w:t>Fecha de Presentación</w:t>
            </w:r>
          </w:p>
        </w:tc>
      </w:tr>
      <w:tr w:rsidR="009812DE" w:rsidRPr="00EA389A" w14:paraId="57F70C21" w14:textId="77777777" w:rsidTr="00A80A8F">
        <w:trPr>
          <w:trHeight w:val="252"/>
          <w:tblHeader/>
          <w:jc w:val="center"/>
        </w:trPr>
        <w:tc>
          <w:tcPr>
            <w:tcW w:w="6374" w:type="dxa"/>
            <w:vMerge w:val="restart"/>
            <w:shd w:val="clear" w:color="auto" w:fill="auto"/>
            <w:vAlign w:val="center"/>
            <w:hideMark/>
          </w:tcPr>
          <w:p w14:paraId="00ED32E4" w14:textId="29C7BECE" w:rsidR="009812DE" w:rsidRPr="00F922E2" w:rsidRDefault="009812DE" w:rsidP="000E2940">
            <w:pPr>
              <w:spacing w:after="0" w:line="240" w:lineRule="auto"/>
              <w:rPr>
                <w:rFonts w:ascii="Verdana" w:hAnsi="Verdana"/>
                <w:color w:val="000000"/>
                <w:kern w:val="0"/>
                <w:sz w:val="16"/>
                <w14:ligatures w14:val="none"/>
              </w:rPr>
            </w:pPr>
            <w:r w:rsidRPr="00F922E2">
              <w:rPr>
                <w:rFonts w:ascii="Verdana" w:hAnsi="Verdana"/>
                <w:color w:val="000000"/>
                <w:kern w:val="0"/>
                <w:sz w:val="16"/>
                <w14:ligatures w14:val="none"/>
              </w:rPr>
              <w:t>Información contable Pública - Convergencia (ICPC). Formularios</w:t>
            </w:r>
            <w:r w:rsidR="003B5DC9" w:rsidRPr="00F922E2">
              <w:rPr>
                <w:rFonts w:ascii="Verdana" w:hAnsi="Verdana"/>
                <w:color w:val="000000"/>
                <w:kern w:val="0"/>
                <w:sz w:val="16"/>
                <w14:ligatures w14:val="none"/>
              </w:rPr>
              <w:t>:</w:t>
            </w:r>
            <w:r w:rsidRPr="00F922E2">
              <w:rPr>
                <w:rFonts w:ascii="Verdana" w:hAnsi="Verdana"/>
                <w:color w:val="000000"/>
                <w:kern w:val="0"/>
                <w:sz w:val="16"/>
                <w14:ligatures w14:val="none"/>
              </w:rPr>
              <w:br/>
            </w:r>
            <w:r w:rsidR="003B5DC9" w:rsidRPr="00F922E2">
              <w:rPr>
                <w:rFonts w:ascii="Verdana" w:hAnsi="Verdana"/>
                <w:color w:val="000000"/>
                <w:kern w:val="0"/>
                <w:sz w:val="16"/>
                <w14:ligatures w14:val="none"/>
              </w:rPr>
              <w:t xml:space="preserve">- </w:t>
            </w:r>
            <w:r w:rsidRPr="00F922E2">
              <w:rPr>
                <w:rFonts w:ascii="Verdana" w:hAnsi="Verdana"/>
                <w:color w:val="000000"/>
                <w:kern w:val="0"/>
                <w:sz w:val="16"/>
                <w14:ligatures w14:val="none"/>
              </w:rPr>
              <w:t>CGN2015_001_SALDOS</w:t>
            </w:r>
            <w:r w:rsidR="003B5DC9" w:rsidRPr="00F922E2">
              <w:rPr>
                <w:rFonts w:ascii="Verdana" w:hAnsi="Verdana"/>
                <w:color w:val="000000"/>
                <w:kern w:val="0"/>
                <w:sz w:val="16"/>
                <w14:ligatures w14:val="none"/>
              </w:rPr>
              <w:t>_</w:t>
            </w:r>
            <w:r w:rsidRPr="00F922E2">
              <w:rPr>
                <w:rFonts w:ascii="Verdana" w:hAnsi="Verdana"/>
                <w:color w:val="000000"/>
                <w:kern w:val="0"/>
                <w:sz w:val="16"/>
                <w14:ligatures w14:val="none"/>
              </w:rPr>
              <w:t>Y</w:t>
            </w:r>
            <w:r w:rsidR="003B5DC9" w:rsidRPr="00F922E2">
              <w:rPr>
                <w:rFonts w:ascii="Verdana" w:hAnsi="Verdana"/>
                <w:color w:val="000000"/>
                <w:kern w:val="0"/>
                <w:sz w:val="16"/>
                <w14:ligatures w14:val="none"/>
              </w:rPr>
              <w:t>_</w:t>
            </w:r>
            <w:r w:rsidRPr="00F922E2">
              <w:rPr>
                <w:rFonts w:ascii="Verdana" w:hAnsi="Verdana"/>
                <w:color w:val="000000"/>
                <w:kern w:val="0"/>
                <w:sz w:val="16"/>
                <w14:ligatures w14:val="none"/>
              </w:rPr>
              <w:t>MOVIMIENTOS_CONVERGENCIA</w:t>
            </w:r>
            <w:r w:rsidRPr="00F922E2">
              <w:rPr>
                <w:rFonts w:ascii="Verdana" w:hAnsi="Verdana"/>
                <w:color w:val="000000"/>
                <w:kern w:val="0"/>
                <w:sz w:val="16"/>
                <w14:ligatures w14:val="none"/>
              </w:rPr>
              <w:br/>
            </w:r>
            <w:r w:rsidR="003B5DC9" w:rsidRPr="00F922E2">
              <w:rPr>
                <w:rFonts w:ascii="Verdana" w:hAnsi="Verdana"/>
                <w:color w:val="000000"/>
                <w:kern w:val="0"/>
                <w:sz w:val="16"/>
                <w14:ligatures w14:val="none"/>
              </w:rPr>
              <w:t xml:space="preserve">- </w:t>
            </w:r>
            <w:r w:rsidRPr="00F922E2">
              <w:rPr>
                <w:rFonts w:ascii="Verdana" w:hAnsi="Verdana"/>
                <w:color w:val="000000"/>
                <w:kern w:val="0"/>
                <w:sz w:val="16"/>
                <w14:ligatures w14:val="none"/>
              </w:rPr>
              <w:t>CGN2015_002_OPERACIONES_RECIPROCAS_CONVERGENCIA</w:t>
            </w:r>
            <w:r w:rsidRPr="00F922E2">
              <w:rPr>
                <w:rFonts w:ascii="Verdana" w:hAnsi="Verdana"/>
                <w:color w:val="000000"/>
                <w:kern w:val="0"/>
                <w:sz w:val="16"/>
                <w14:ligatures w14:val="none"/>
              </w:rPr>
              <w:br/>
            </w:r>
            <w:r w:rsidR="003B5DC9" w:rsidRPr="00F922E2">
              <w:rPr>
                <w:rFonts w:ascii="Verdana" w:hAnsi="Verdana"/>
                <w:color w:val="000000"/>
                <w:kern w:val="0"/>
                <w:sz w:val="16"/>
                <w14:ligatures w14:val="none"/>
              </w:rPr>
              <w:t xml:space="preserve">- </w:t>
            </w:r>
            <w:r w:rsidRPr="00F922E2">
              <w:rPr>
                <w:rFonts w:ascii="Verdana" w:hAnsi="Verdana"/>
                <w:color w:val="000000"/>
                <w:kern w:val="0"/>
                <w:sz w:val="16"/>
                <w14:ligatures w14:val="none"/>
              </w:rPr>
              <w:t>CGN2016C01_VARI</w:t>
            </w:r>
            <w:r w:rsidR="00C436FE" w:rsidRPr="00F922E2">
              <w:rPr>
                <w:rFonts w:ascii="Verdana" w:hAnsi="Verdana"/>
                <w:color w:val="000000"/>
                <w:kern w:val="0"/>
                <w:sz w:val="16"/>
                <w14:ligatures w14:val="none"/>
              </w:rPr>
              <w:t>A</w:t>
            </w:r>
            <w:r w:rsidRPr="00F922E2">
              <w:rPr>
                <w:rFonts w:ascii="Verdana" w:hAnsi="Verdana"/>
                <w:color w:val="000000"/>
                <w:kern w:val="0"/>
                <w:sz w:val="16"/>
                <w14:ligatures w14:val="none"/>
              </w:rPr>
              <w:t>CIONES</w:t>
            </w:r>
            <w:r w:rsidR="003B5DC9" w:rsidRPr="00F922E2">
              <w:rPr>
                <w:rFonts w:ascii="Verdana" w:hAnsi="Verdana"/>
                <w:color w:val="000000"/>
                <w:kern w:val="0"/>
                <w:sz w:val="16"/>
                <w14:ligatures w14:val="none"/>
              </w:rPr>
              <w:t>_</w:t>
            </w:r>
            <w:r w:rsidRPr="00F922E2">
              <w:rPr>
                <w:rFonts w:ascii="Verdana" w:hAnsi="Verdana"/>
                <w:color w:val="000000"/>
                <w:kern w:val="0"/>
                <w:sz w:val="16"/>
                <w14:ligatures w14:val="none"/>
              </w:rPr>
              <w:t>TRIMESTRALES_SIGNIFICATIVAS</w:t>
            </w:r>
          </w:p>
          <w:p w14:paraId="2C300896" w14:textId="4869326F" w:rsidR="00C436FE" w:rsidRPr="00F922E2" w:rsidRDefault="003B5DC9" w:rsidP="000E2940">
            <w:pPr>
              <w:spacing w:after="0" w:line="240" w:lineRule="auto"/>
              <w:rPr>
                <w:rFonts w:ascii="Verdana" w:hAnsi="Verdana"/>
                <w:color w:val="000000"/>
                <w:kern w:val="0"/>
                <w:sz w:val="16"/>
                <w14:ligatures w14:val="none"/>
              </w:rPr>
            </w:pPr>
            <w:r w:rsidRPr="00F922E2">
              <w:rPr>
                <w:rFonts w:ascii="Verdana" w:hAnsi="Verdana"/>
                <w:color w:val="000000"/>
                <w:kern w:val="0"/>
                <w:sz w:val="16"/>
                <w14:ligatures w14:val="none"/>
              </w:rPr>
              <w:t xml:space="preserve">- </w:t>
            </w:r>
            <w:r w:rsidR="00C436FE" w:rsidRPr="00F922E2">
              <w:rPr>
                <w:rFonts w:ascii="Verdana" w:hAnsi="Verdana"/>
                <w:color w:val="000000"/>
                <w:kern w:val="0"/>
                <w:sz w:val="16"/>
                <w14:ligatures w14:val="none"/>
              </w:rPr>
              <w:t>CGN2025_005_CAMBIOS_RELEVANTES_ESTAD</w:t>
            </w:r>
            <w:r w:rsidRPr="00F922E2">
              <w:rPr>
                <w:rFonts w:ascii="Verdana" w:hAnsi="Verdana"/>
                <w:color w:val="000000"/>
                <w:kern w:val="0"/>
                <w:sz w:val="16"/>
                <w14:ligatures w14:val="none"/>
              </w:rPr>
              <w:t>I</w:t>
            </w:r>
            <w:r w:rsidR="00C436FE" w:rsidRPr="00F922E2">
              <w:rPr>
                <w:rFonts w:ascii="Verdana" w:hAnsi="Verdana"/>
                <w:color w:val="000000"/>
                <w:kern w:val="0"/>
                <w:sz w:val="16"/>
                <w14:ligatures w14:val="none"/>
              </w:rPr>
              <w:t>STICAS_GFP</w:t>
            </w:r>
          </w:p>
        </w:tc>
        <w:tc>
          <w:tcPr>
            <w:tcW w:w="1701" w:type="dxa"/>
            <w:shd w:val="clear" w:color="auto" w:fill="auto"/>
            <w:vAlign w:val="center"/>
            <w:hideMark/>
          </w:tcPr>
          <w:p w14:paraId="49C61E82" w14:textId="77777777" w:rsidR="009812DE" w:rsidRPr="00F922E2" w:rsidRDefault="009812DE" w:rsidP="000E2940">
            <w:pPr>
              <w:spacing w:after="0" w:line="240" w:lineRule="auto"/>
              <w:jc w:val="center"/>
              <w:rPr>
                <w:rFonts w:ascii="Verdana" w:hAnsi="Verdana"/>
                <w:color w:val="000000"/>
                <w:kern w:val="0"/>
                <w:sz w:val="16"/>
                <w14:ligatures w14:val="none"/>
              </w:rPr>
            </w:pPr>
            <w:r w:rsidRPr="00F922E2">
              <w:rPr>
                <w:rFonts w:ascii="Verdana" w:hAnsi="Verdana"/>
                <w:color w:val="000000"/>
                <w:kern w:val="0"/>
                <w:sz w:val="16"/>
                <w14:ligatures w14:val="none"/>
              </w:rPr>
              <w:t>31 de marzo</w:t>
            </w:r>
          </w:p>
        </w:tc>
        <w:tc>
          <w:tcPr>
            <w:tcW w:w="2067" w:type="dxa"/>
            <w:shd w:val="clear" w:color="auto" w:fill="auto"/>
            <w:vAlign w:val="center"/>
            <w:hideMark/>
          </w:tcPr>
          <w:p w14:paraId="508D4E06" w14:textId="77777777" w:rsidR="009812DE" w:rsidRPr="00F922E2" w:rsidRDefault="009812DE" w:rsidP="000E2940">
            <w:pPr>
              <w:spacing w:after="0" w:line="240" w:lineRule="auto"/>
              <w:jc w:val="center"/>
              <w:rPr>
                <w:rFonts w:ascii="Verdana" w:hAnsi="Verdana"/>
                <w:color w:val="000000"/>
                <w:kern w:val="0"/>
                <w:sz w:val="16"/>
                <w14:ligatures w14:val="none"/>
              </w:rPr>
            </w:pPr>
            <w:r w:rsidRPr="00F922E2">
              <w:rPr>
                <w:rFonts w:ascii="Verdana" w:hAnsi="Verdana"/>
                <w:color w:val="000000"/>
                <w:kern w:val="0"/>
                <w:sz w:val="16"/>
                <w14:ligatures w14:val="none"/>
              </w:rPr>
              <w:t>30 de abril</w:t>
            </w:r>
          </w:p>
        </w:tc>
      </w:tr>
      <w:tr w:rsidR="009812DE" w:rsidRPr="00EA389A" w14:paraId="2B1A3F13" w14:textId="77777777" w:rsidTr="00A80A8F">
        <w:trPr>
          <w:trHeight w:val="151"/>
          <w:tblHeader/>
          <w:jc w:val="center"/>
        </w:trPr>
        <w:tc>
          <w:tcPr>
            <w:tcW w:w="6374" w:type="dxa"/>
            <w:vMerge/>
            <w:vAlign w:val="center"/>
            <w:hideMark/>
          </w:tcPr>
          <w:p w14:paraId="3B99208F" w14:textId="77777777" w:rsidR="009812DE" w:rsidRPr="00802D92" w:rsidRDefault="009812DE" w:rsidP="000E2940">
            <w:pPr>
              <w:spacing w:after="0" w:line="240" w:lineRule="auto"/>
              <w:rPr>
                <w:rFonts w:ascii="Verdana" w:hAnsi="Verdana"/>
                <w:color w:val="000000"/>
                <w:kern w:val="0"/>
                <w:sz w:val="16"/>
                <w14:ligatures w14:val="none"/>
              </w:rPr>
            </w:pPr>
          </w:p>
        </w:tc>
        <w:tc>
          <w:tcPr>
            <w:tcW w:w="1701" w:type="dxa"/>
            <w:shd w:val="clear" w:color="auto" w:fill="auto"/>
            <w:vAlign w:val="center"/>
            <w:hideMark/>
          </w:tcPr>
          <w:p w14:paraId="7C82EE3B" w14:textId="77777777" w:rsidR="009812DE" w:rsidRPr="00802D92" w:rsidRDefault="009812DE" w:rsidP="000E2940">
            <w:pPr>
              <w:spacing w:after="0" w:line="240" w:lineRule="auto"/>
              <w:jc w:val="center"/>
              <w:rPr>
                <w:rFonts w:ascii="Verdana" w:hAnsi="Verdana"/>
                <w:color w:val="000000"/>
                <w:kern w:val="0"/>
                <w:sz w:val="16"/>
                <w14:ligatures w14:val="none"/>
              </w:rPr>
            </w:pPr>
            <w:r w:rsidRPr="00802D92">
              <w:rPr>
                <w:rFonts w:ascii="Verdana" w:hAnsi="Verdana"/>
                <w:color w:val="000000"/>
                <w:kern w:val="0"/>
                <w:sz w:val="16"/>
                <w14:ligatures w14:val="none"/>
              </w:rPr>
              <w:t>30 de junio</w:t>
            </w:r>
          </w:p>
        </w:tc>
        <w:tc>
          <w:tcPr>
            <w:tcW w:w="2067" w:type="dxa"/>
            <w:shd w:val="clear" w:color="auto" w:fill="auto"/>
            <w:vAlign w:val="center"/>
            <w:hideMark/>
          </w:tcPr>
          <w:p w14:paraId="45FA36EF" w14:textId="77777777" w:rsidR="009812DE" w:rsidRPr="00802D92" w:rsidRDefault="009812DE" w:rsidP="000E2940">
            <w:pPr>
              <w:spacing w:after="0" w:line="240" w:lineRule="auto"/>
              <w:jc w:val="center"/>
              <w:rPr>
                <w:rFonts w:ascii="Verdana" w:hAnsi="Verdana"/>
                <w:color w:val="000000"/>
                <w:kern w:val="0"/>
                <w:sz w:val="16"/>
                <w14:ligatures w14:val="none"/>
              </w:rPr>
            </w:pPr>
            <w:r w:rsidRPr="00802D92">
              <w:rPr>
                <w:rFonts w:ascii="Verdana" w:hAnsi="Verdana"/>
                <w:color w:val="000000"/>
                <w:kern w:val="0"/>
                <w:sz w:val="16"/>
                <w14:ligatures w14:val="none"/>
              </w:rPr>
              <w:t>31 de julio</w:t>
            </w:r>
          </w:p>
        </w:tc>
      </w:tr>
      <w:tr w:rsidR="009812DE" w:rsidRPr="00EA389A" w14:paraId="6DDA5841" w14:textId="77777777" w:rsidTr="00A80A8F">
        <w:trPr>
          <w:trHeight w:val="151"/>
          <w:tblHeader/>
          <w:jc w:val="center"/>
        </w:trPr>
        <w:tc>
          <w:tcPr>
            <w:tcW w:w="6374" w:type="dxa"/>
            <w:vMerge/>
            <w:vAlign w:val="center"/>
            <w:hideMark/>
          </w:tcPr>
          <w:p w14:paraId="28F283FC" w14:textId="77777777" w:rsidR="009812DE" w:rsidRPr="00802D92" w:rsidRDefault="009812DE" w:rsidP="000E2940">
            <w:pPr>
              <w:spacing w:after="0" w:line="240" w:lineRule="auto"/>
              <w:rPr>
                <w:rFonts w:ascii="Verdana" w:hAnsi="Verdana"/>
                <w:color w:val="000000"/>
                <w:kern w:val="0"/>
                <w:sz w:val="16"/>
                <w14:ligatures w14:val="none"/>
              </w:rPr>
            </w:pPr>
          </w:p>
        </w:tc>
        <w:tc>
          <w:tcPr>
            <w:tcW w:w="1701" w:type="dxa"/>
            <w:shd w:val="clear" w:color="auto" w:fill="auto"/>
            <w:vAlign w:val="center"/>
            <w:hideMark/>
          </w:tcPr>
          <w:p w14:paraId="7ABE2A58" w14:textId="77777777" w:rsidR="009812DE" w:rsidRPr="00802D92" w:rsidRDefault="009812DE" w:rsidP="000E2940">
            <w:pPr>
              <w:spacing w:after="0" w:line="240" w:lineRule="auto"/>
              <w:jc w:val="center"/>
              <w:rPr>
                <w:rFonts w:ascii="Verdana" w:hAnsi="Verdana"/>
                <w:color w:val="000000"/>
                <w:kern w:val="0"/>
                <w:sz w:val="16"/>
                <w14:ligatures w14:val="none"/>
              </w:rPr>
            </w:pPr>
            <w:r w:rsidRPr="00802D92">
              <w:rPr>
                <w:rFonts w:ascii="Verdana" w:hAnsi="Verdana"/>
                <w:color w:val="000000"/>
                <w:kern w:val="0"/>
                <w:sz w:val="16"/>
                <w14:ligatures w14:val="none"/>
              </w:rPr>
              <w:t>30 de septiembre</w:t>
            </w:r>
          </w:p>
        </w:tc>
        <w:tc>
          <w:tcPr>
            <w:tcW w:w="2067" w:type="dxa"/>
            <w:shd w:val="clear" w:color="auto" w:fill="auto"/>
            <w:vAlign w:val="center"/>
            <w:hideMark/>
          </w:tcPr>
          <w:p w14:paraId="6C6B5CF7" w14:textId="77777777" w:rsidR="009812DE" w:rsidRPr="00802D92" w:rsidRDefault="009812DE" w:rsidP="000E2940">
            <w:pPr>
              <w:spacing w:after="0" w:line="240" w:lineRule="auto"/>
              <w:jc w:val="center"/>
              <w:rPr>
                <w:rFonts w:ascii="Verdana" w:hAnsi="Verdana"/>
                <w:color w:val="000000"/>
                <w:kern w:val="0"/>
                <w:sz w:val="16"/>
                <w14:ligatures w14:val="none"/>
              </w:rPr>
            </w:pPr>
            <w:r w:rsidRPr="00802D92">
              <w:rPr>
                <w:rFonts w:ascii="Verdana" w:hAnsi="Verdana"/>
                <w:color w:val="000000"/>
                <w:kern w:val="0"/>
                <w:sz w:val="16"/>
                <w14:ligatures w14:val="none"/>
              </w:rPr>
              <w:t>31 de octubre</w:t>
            </w:r>
          </w:p>
        </w:tc>
      </w:tr>
      <w:tr w:rsidR="009812DE" w:rsidRPr="00EA389A" w14:paraId="531E9B2E" w14:textId="77777777" w:rsidTr="00A80A8F">
        <w:trPr>
          <w:trHeight w:val="151"/>
          <w:tblHeader/>
          <w:jc w:val="center"/>
        </w:trPr>
        <w:tc>
          <w:tcPr>
            <w:tcW w:w="6374" w:type="dxa"/>
            <w:vMerge/>
            <w:vAlign w:val="center"/>
            <w:hideMark/>
          </w:tcPr>
          <w:p w14:paraId="6C789E70" w14:textId="77777777" w:rsidR="009812DE" w:rsidRPr="00802D92" w:rsidRDefault="009812DE" w:rsidP="000E2940">
            <w:pPr>
              <w:spacing w:after="0" w:line="240" w:lineRule="auto"/>
              <w:rPr>
                <w:rFonts w:ascii="Verdana" w:hAnsi="Verdana"/>
                <w:color w:val="000000"/>
                <w:kern w:val="0"/>
                <w:sz w:val="16"/>
                <w14:ligatures w14:val="none"/>
              </w:rPr>
            </w:pPr>
          </w:p>
        </w:tc>
        <w:tc>
          <w:tcPr>
            <w:tcW w:w="1701" w:type="dxa"/>
            <w:shd w:val="clear" w:color="auto" w:fill="auto"/>
            <w:vAlign w:val="center"/>
            <w:hideMark/>
          </w:tcPr>
          <w:p w14:paraId="6A630D05" w14:textId="77777777" w:rsidR="009812DE" w:rsidRPr="00802D92" w:rsidRDefault="009812DE" w:rsidP="000E2940">
            <w:pPr>
              <w:spacing w:after="0" w:line="240" w:lineRule="auto"/>
              <w:jc w:val="center"/>
              <w:rPr>
                <w:rFonts w:ascii="Verdana" w:hAnsi="Verdana"/>
                <w:color w:val="000000"/>
                <w:kern w:val="0"/>
                <w:sz w:val="16"/>
                <w14:ligatures w14:val="none"/>
              </w:rPr>
            </w:pPr>
            <w:r w:rsidRPr="00802D92">
              <w:rPr>
                <w:rFonts w:ascii="Verdana" w:hAnsi="Verdana"/>
                <w:color w:val="000000"/>
                <w:kern w:val="0"/>
                <w:sz w:val="16"/>
                <w14:ligatures w14:val="none"/>
              </w:rPr>
              <w:t>31 de diciembre</w:t>
            </w:r>
          </w:p>
        </w:tc>
        <w:tc>
          <w:tcPr>
            <w:tcW w:w="2067" w:type="dxa"/>
            <w:shd w:val="clear" w:color="auto" w:fill="auto"/>
            <w:vAlign w:val="center"/>
            <w:hideMark/>
          </w:tcPr>
          <w:p w14:paraId="74F76D07" w14:textId="77777777" w:rsidR="009812DE" w:rsidRPr="00802D92" w:rsidRDefault="009812DE" w:rsidP="000E2940">
            <w:pPr>
              <w:spacing w:after="0" w:line="240" w:lineRule="auto"/>
              <w:jc w:val="center"/>
              <w:rPr>
                <w:rFonts w:ascii="Verdana" w:hAnsi="Verdana"/>
                <w:color w:val="000000"/>
                <w:kern w:val="0"/>
                <w:sz w:val="16"/>
                <w14:ligatures w14:val="none"/>
              </w:rPr>
            </w:pPr>
            <w:r w:rsidRPr="00802D92">
              <w:rPr>
                <w:rFonts w:ascii="Verdana" w:hAnsi="Verdana"/>
                <w:color w:val="000000"/>
                <w:kern w:val="0"/>
                <w:sz w:val="16"/>
                <w14:ligatures w14:val="none"/>
              </w:rPr>
              <w:t>15 de febrero del año siguiente</w:t>
            </w:r>
          </w:p>
        </w:tc>
      </w:tr>
      <w:tr w:rsidR="009812DE" w:rsidRPr="00EA389A" w14:paraId="306B7A03" w14:textId="77777777" w:rsidTr="00A80A8F">
        <w:trPr>
          <w:trHeight w:val="504"/>
          <w:tblHeader/>
          <w:jc w:val="center"/>
        </w:trPr>
        <w:tc>
          <w:tcPr>
            <w:tcW w:w="6374" w:type="dxa"/>
            <w:shd w:val="clear" w:color="auto" w:fill="auto"/>
            <w:vAlign w:val="center"/>
            <w:hideMark/>
          </w:tcPr>
          <w:p w14:paraId="77B91FC7" w14:textId="77777777" w:rsidR="000E2940" w:rsidRPr="00F922E2" w:rsidRDefault="009812DE" w:rsidP="000E2940">
            <w:pPr>
              <w:spacing w:after="0" w:line="240" w:lineRule="auto"/>
              <w:rPr>
                <w:rFonts w:ascii="Verdana" w:hAnsi="Verdana"/>
                <w:color w:val="000000"/>
                <w:kern w:val="0"/>
                <w:sz w:val="16"/>
                <w14:ligatures w14:val="none"/>
              </w:rPr>
            </w:pPr>
            <w:r w:rsidRPr="00F922E2">
              <w:rPr>
                <w:rFonts w:ascii="Verdana" w:hAnsi="Verdana"/>
                <w:color w:val="000000"/>
                <w:kern w:val="0"/>
                <w:sz w:val="16"/>
                <w14:ligatures w14:val="none"/>
              </w:rPr>
              <w:t>Información contable Pública - Convergencia (ICPC).</w:t>
            </w:r>
          </w:p>
          <w:p w14:paraId="58341471" w14:textId="14051187" w:rsidR="009812DE" w:rsidRPr="00F922E2" w:rsidRDefault="000E2940" w:rsidP="000E2940">
            <w:pPr>
              <w:spacing w:after="0" w:line="240" w:lineRule="auto"/>
              <w:rPr>
                <w:rFonts w:ascii="Verdana" w:hAnsi="Verdana"/>
                <w:color w:val="000000"/>
                <w:kern w:val="0"/>
                <w:sz w:val="16"/>
                <w14:ligatures w14:val="none"/>
              </w:rPr>
            </w:pPr>
            <w:r w:rsidRPr="00F922E2">
              <w:rPr>
                <w:rFonts w:ascii="Verdana" w:hAnsi="Verdana"/>
                <w:color w:val="000000"/>
                <w:kern w:val="0"/>
                <w:sz w:val="16"/>
                <w14:ligatures w14:val="none"/>
              </w:rPr>
              <w:t>-</w:t>
            </w:r>
            <w:r w:rsidR="009812DE" w:rsidRPr="00F922E2">
              <w:rPr>
                <w:rFonts w:ascii="Verdana" w:hAnsi="Verdana"/>
                <w:color w:val="000000"/>
                <w:kern w:val="0"/>
                <w:sz w:val="16"/>
                <w14:ligatures w14:val="none"/>
              </w:rPr>
              <w:t xml:space="preserve"> Estados financieros con sus notas en </w:t>
            </w:r>
            <w:r w:rsidR="00716C4C" w:rsidRPr="00F922E2">
              <w:rPr>
                <w:rFonts w:ascii="Verdana" w:hAnsi="Verdana"/>
                <w:color w:val="000000"/>
                <w:kern w:val="0"/>
                <w:sz w:val="16"/>
                <w14:ligatures w14:val="none"/>
              </w:rPr>
              <w:t xml:space="preserve">archivo </w:t>
            </w:r>
            <w:r w:rsidR="009812DE" w:rsidRPr="00037BE2">
              <w:rPr>
                <w:rFonts w:ascii="Verdana" w:hAnsi="Verdana"/>
                <w:color w:val="000000"/>
                <w:kern w:val="0"/>
                <w:sz w:val="16"/>
                <w14:ligatures w14:val="none"/>
              </w:rPr>
              <w:t>pdf</w:t>
            </w:r>
            <w:r w:rsidR="007152F0">
              <w:rPr>
                <w:rFonts w:ascii="Verdana" w:eastAsia="Times New Roman" w:hAnsi="Verdana" w:cs="Times New Roman"/>
                <w:color w:val="000000"/>
                <w:kern w:val="0"/>
                <w:sz w:val="16"/>
                <w:szCs w:val="16"/>
                <w:lang w:eastAsia="es-CO"/>
                <w14:ligatures w14:val="none"/>
              </w:rPr>
              <w:t xml:space="preserve"> (tipo texto, no imagen)</w:t>
            </w:r>
          </w:p>
        </w:tc>
        <w:tc>
          <w:tcPr>
            <w:tcW w:w="1701" w:type="dxa"/>
            <w:shd w:val="clear" w:color="auto" w:fill="auto"/>
            <w:vAlign w:val="center"/>
            <w:hideMark/>
          </w:tcPr>
          <w:p w14:paraId="61011FFF" w14:textId="77777777" w:rsidR="009812DE" w:rsidRPr="00F922E2" w:rsidRDefault="009812DE" w:rsidP="000E2940">
            <w:pPr>
              <w:spacing w:after="0" w:line="240" w:lineRule="auto"/>
              <w:jc w:val="center"/>
              <w:rPr>
                <w:rFonts w:ascii="Verdana" w:hAnsi="Verdana"/>
                <w:color w:val="000000"/>
                <w:kern w:val="0"/>
                <w:sz w:val="16"/>
                <w14:ligatures w14:val="none"/>
              </w:rPr>
            </w:pPr>
            <w:r w:rsidRPr="00F922E2">
              <w:rPr>
                <w:rFonts w:ascii="Verdana" w:hAnsi="Verdana"/>
                <w:color w:val="000000"/>
                <w:kern w:val="0"/>
                <w:sz w:val="16"/>
                <w14:ligatures w14:val="none"/>
              </w:rPr>
              <w:t>31 de diciembre</w:t>
            </w:r>
          </w:p>
        </w:tc>
        <w:tc>
          <w:tcPr>
            <w:tcW w:w="2067" w:type="dxa"/>
            <w:shd w:val="clear" w:color="auto" w:fill="auto"/>
            <w:vAlign w:val="center"/>
            <w:hideMark/>
          </w:tcPr>
          <w:p w14:paraId="03355787" w14:textId="77777777" w:rsidR="009812DE" w:rsidRPr="00F922E2" w:rsidRDefault="009812DE" w:rsidP="000E2940">
            <w:pPr>
              <w:spacing w:after="0" w:line="240" w:lineRule="auto"/>
              <w:jc w:val="center"/>
              <w:rPr>
                <w:rFonts w:ascii="Verdana" w:hAnsi="Verdana"/>
                <w:color w:val="000000"/>
                <w:kern w:val="0"/>
                <w:sz w:val="16"/>
                <w14:ligatures w14:val="none"/>
              </w:rPr>
            </w:pPr>
            <w:r w:rsidRPr="00F922E2">
              <w:rPr>
                <w:rFonts w:ascii="Verdana" w:hAnsi="Verdana"/>
                <w:color w:val="000000"/>
                <w:kern w:val="0"/>
                <w:sz w:val="16"/>
                <w14:ligatures w14:val="none"/>
              </w:rPr>
              <w:t>28 de febrero del año siguiente</w:t>
            </w:r>
          </w:p>
        </w:tc>
      </w:tr>
      <w:tr w:rsidR="009812DE" w:rsidRPr="00EA389A" w14:paraId="39F6EE55" w14:textId="77777777" w:rsidTr="00A80A8F">
        <w:trPr>
          <w:trHeight w:val="504"/>
          <w:tblHeader/>
          <w:jc w:val="center"/>
        </w:trPr>
        <w:tc>
          <w:tcPr>
            <w:tcW w:w="6374" w:type="dxa"/>
            <w:shd w:val="clear" w:color="auto" w:fill="auto"/>
            <w:vAlign w:val="center"/>
            <w:hideMark/>
          </w:tcPr>
          <w:p w14:paraId="26347FC3" w14:textId="271DF1A8" w:rsidR="009812DE" w:rsidRPr="00F922E2" w:rsidRDefault="009812DE" w:rsidP="000E2940">
            <w:pPr>
              <w:spacing w:after="0" w:line="240" w:lineRule="auto"/>
              <w:rPr>
                <w:rFonts w:ascii="Verdana" w:hAnsi="Verdana"/>
                <w:color w:val="000000"/>
                <w:kern w:val="0"/>
                <w:sz w:val="16"/>
                <w14:ligatures w14:val="none"/>
              </w:rPr>
            </w:pPr>
            <w:r w:rsidRPr="00F922E2">
              <w:rPr>
                <w:rFonts w:ascii="Verdana" w:hAnsi="Verdana"/>
                <w:color w:val="000000"/>
                <w:kern w:val="0"/>
                <w:sz w:val="16"/>
                <w14:ligatures w14:val="none"/>
              </w:rPr>
              <w:t>Evaluación del Control Interno Contable (ECIC) Formulario:</w:t>
            </w:r>
            <w:r w:rsidRPr="00F922E2">
              <w:rPr>
                <w:rFonts w:ascii="Verdana" w:hAnsi="Verdana"/>
                <w:color w:val="000000"/>
                <w:kern w:val="0"/>
                <w:sz w:val="16"/>
                <w14:ligatures w14:val="none"/>
              </w:rPr>
              <w:br/>
            </w:r>
            <w:r w:rsidR="003B5DC9" w:rsidRPr="00F922E2">
              <w:rPr>
                <w:rFonts w:ascii="Verdana" w:hAnsi="Verdana"/>
                <w:color w:val="000000"/>
                <w:kern w:val="0"/>
                <w:sz w:val="16"/>
                <w14:ligatures w14:val="none"/>
              </w:rPr>
              <w:t xml:space="preserve">- </w:t>
            </w:r>
            <w:r w:rsidRPr="00F922E2">
              <w:rPr>
                <w:rFonts w:ascii="Verdana" w:hAnsi="Verdana"/>
                <w:color w:val="000000"/>
                <w:kern w:val="0"/>
                <w:sz w:val="16"/>
                <w14:ligatures w14:val="none"/>
              </w:rPr>
              <w:t>CGN2016_EVALUACIÓN_CONTROL_INTERNO_CONTABLE</w:t>
            </w:r>
          </w:p>
        </w:tc>
        <w:tc>
          <w:tcPr>
            <w:tcW w:w="1701" w:type="dxa"/>
            <w:shd w:val="clear" w:color="auto" w:fill="auto"/>
            <w:vAlign w:val="center"/>
            <w:hideMark/>
          </w:tcPr>
          <w:p w14:paraId="47162EEF" w14:textId="77777777" w:rsidR="009812DE" w:rsidRPr="00F922E2" w:rsidRDefault="009812DE" w:rsidP="000E2940">
            <w:pPr>
              <w:spacing w:after="0" w:line="240" w:lineRule="auto"/>
              <w:jc w:val="center"/>
              <w:rPr>
                <w:rFonts w:ascii="Verdana" w:hAnsi="Verdana"/>
                <w:color w:val="000000"/>
                <w:kern w:val="0"/>
                <w:sz w:val="16"/>
                <w14:ligatures w14:val="none"/>
              </w:rPr>
            </w:pPr>
            <w:r w:rsidRPr="00F922E2">
              <w:rPr>
                <w:rFonts w:ascii="Verdana" w:hAnsi="Verdana"/>
                <w:color w:val="000000"/>
                <w:kern w:val="0"/>
                <w:sz w:val="16"/>
                <w14:ligatures w14:val="none"/>
              </w:rPr>
              <w:t>31 de diciembre</w:t>
            </w:r>
          </w:p>
        </w:tc>
        <w:tc>
          <w:tcPr>
            <w:tcW w:w="2067" w:type="dxa"/>
            <w:shd w:val="clear" w:color="auto" w:fill="auto"/>
            <w:vAlign w:val="center"/>
            <w:hideMark/>
          </w:tcPr>
          <w:p w14:paraId="39137186" w14:textId="77777777" w:rsidR="009812DE" w:rsidRPr="00F922E2" w:rsidRDefault="009812DE" w:rsidP="000E2940">
            <w:pPr>
              <w:spacing w:after="0" w:line="240" w:lineRule="auto"/>
              <w:jc w:val="center"/>
              <w:rPr>
                <w:rFonts w:ascii="Verdana" w:hAnsi="Verdana"/>
                <w:color w:val="000000"/>
                <w:kern w:val="0"/>
                <w:sz w:val="16"/>
                <w14:ligatures w14:val="none"/>
              </w:rPr>
            </w:pPr>
            <w:r w:rsidRPr="00F922E2">
              <w:rPr>
                <w:rFonts w:ascii="Verdana" w:hAnsi="Verdana"/>
                <w:color w:val="000000"/>
                <w:kern w:val="0"/>
                <w:sz w:val="16"/>
                <w14:ligatures w14:val="none"/>
              </w:rPr>
              <w:t>28 de febrero del año siguiente</w:t>
            </w:r>
          </w:p>
        </w:tc>
      </w:tr>
      <w:tr w:rsidR="009812DE" w:rsidRPr="00EA389A" w14:paraId="6EB61856" w14:textId="77777777" w:rsidTr="000E2940">
        <w:trPr>
          <w:trHeight w:val="365"/>
          <w:tblHeader/>
          <w:jc w:val="center"/>
        </w:trPr>
        <w:tc>
          <w:tcPr>
            <w:tcW w:w="6374" w:type="dxa"/>
            <w:vMerge w:val="restart"/>
            <w:shd w:val="clear" w:color="auto" w:fill="auto"/>
            <w:vAlign w:val="center"/>
            <w:hideMark/>
          </w:tcPr>
          <w:p w14:paraId="2692E1FC" w14:textId="23F40EF0" w:rsidR="00A80A8F" w:rsidRPr="00F922E2" w:rsidRDefault="009812DE" w:rsidP="000E2940">
            <w:pPr>
              <w:spacing w:after="0" w:line="240" w:lineRule="auto"/>
              <w:rPr>
                <w:rFonts w:ascii="Verdana" w:hAnsi="Verdana"/>
                <w:color w:val="000000"/>
                <w:kern w:val="0"/>
                <w:sz w:val="16"/>
                <w14:ligatures w14:val="none"/>
              </w:rPr>
            </w:pPr>
            <w:r w:rsidRPr="00F922E2">
              <w:rPr>
                <w:rFonts w:ascii="Verdana" w:hAnsi="Verdana"/>
                <w:color w:val="000000"/>
                <w:kern w:val="0"/>
                <w:sz w:val="16"/>
                <w14:ligatures w14:val="none"/>
              </w:rPr>
              <w:t>Boletín de Deudores Morosos del Estado (BDME). Formularios</w:t>
            </w:r>
            <w:r w:rsidR="00A80A8F" w:rsidRPr="00F922E2">
              <w:rPr>
                <w:rFonts w:ascii="Verdana" w:hAnsi="Verdana"/>
                <w:color w:val="000000"/>
                <w:kern w:val="0"/>
                <w:sz w:val="16"/>
                <w14:ligatures w14:val="none"/>
              </w:rPr>
              <w:t xml:space="preserve"> semestrales</w:t>
            </w:r>
            <w:r w:rsidRPr="00F922E2">
              <w:rPr>
                <w:rFonts w:ascii="Verdana" w:hAnsi="Verdana"/>
                <w:color w:val="000000"/>
                <w:kern w:val="0"/>
                <w:sz w:val="16"/>
                <w14:ligatures w14:val="none"/>
              </w:rPr>
              <w:t>:</w:t>
            </w:r>
            <w:r w:rsidRPr="00F922E2">
              <w:rPr>
                <w:rFonts w:ascii="Verdana" w:hAnsi="Verdana"/>
                <w:color w:val="000000"/>
                <w:kern w:val="0"/>
                <w:sz w:val="16"/>
                <w14:ligatures w14:val="none"/>
              </w:rPr>
              <w:br/>
            </w:r>
            <w:r w:rsidR="003B5DC9" w:rsidRPr="00F922E2">
              <w:rPr>
                <w:rFonts w:ascii="Verdana" w:hAnsi="Verdana"/>
                <w:color w:val="000000"/>
                <w:kern w:val="0"/>
                <w:sz w:val="16"/>
                <w14:ligatures w14:val="none"/>
              </w:rPr>
              <w:t xml:space="preserve">- </w:t>
            </w:r>
            <w:r w:rsidRPr="00F922E2">
              <w:rPr>
                <w:rFonts w:ascii="Verdana" w:hAnsi="Verdana"/>
                <w:color w:val="000000"/>
                <w:kern w:val="0"/>
                <w:sz w:val="16"/>
                <w14:ligatures w14:val="none"/>
              </w:rPr>
              <w:t>CGN2009_BDME_REPORTE_SEMESTRAL</w:t>
            </w:r>
            <w:r w:rsidRPr="00F922E2">
              <w:rPr>
                <w:rFonts w:ascii="Verdana" w:hAnsi="Verdana"/>
                <w:color w:val="000000"/>
                <w:kern w:val="0"/>
                <w:sz w:val="16"/>
                <w14:ligatures w14:val="none"/>
              </w:rPr>
              <w:br/>
            </w:r>
            <w:r w:rsidR="003B5DC9" w:rsidRPr="00F922E2">
              <w:rPr>
                <w:rFonts w:ascii="Verdana" w:hAnsi="Verdana"/>
                <w:color w:val="000000"/>
                <w:kern w:val="0"/>
                <w:sz w:val="16"/>
                <w14:ligatures w14:val="none"/>
              </w:rPr>
              <w:t xml:space="preserve">- </w:t>
            </w:r>
            <w:r w:rsidRPr="00F922E2">
              <w:rPr>
                <w:rFonts w:ascii="Verdana" w:hAnsi="Verdana"/>
                <w:color w:val="000000"/>
                <w:kern w:val="0"/>
                <w:sz w:val="16"/>
                <w14:ligatures w14:val="none"/>
              </w:rPr>
              <w:t>CGN2009_BDME_INCUMPLIMIENTOS_ACUERDOS_PAGO_SEMESTRAL</w:t>
            </w:r>
          </w:p>
          <w:p w14:paraId="512205C0" w14:textId="660D5676" w:rsidR="003B5DC9" w:rsidRPr="00F922E2" w:rsidRDefault="003B5DC9" w:rsidP="000E2940">
            <w:pPr>
              <w:spacing w:after="0" w:line="240" w:lineRule="auto"/>
              <w:rPr>
                <w:rFonts w:ascii="Verdana" w:hAnsi="Verdana"/>
                <w:color w:val="000000"/>
                <w:kern w:val="0"/>
                <w:sz w:val="16"/>
                <w14:ligatures w14:val="none"/>
              </w:rPr>
            </w:pPr>
          </w:p>
        </w:tc>
        <w:tc>
          <w:tcPr>
            <w:tcW w:w="1701" w:type="dxa"/>
            <w:shd w:val="clear" w:color="auto" w:fill="auto"/>
            <w:vAlign w:val="center"/>
            <w:hideMark/>
          </w:tcPr>
          <w:p w14:paraId="21436C8C" w14:textId="77777777" w:rsidR="009812DE" w:rsidRPr="00F922E2" w:rsidRDefault="009812DE" w:rsidP="000E2940">
            <w:pPr>
              <w:spacing w:after="0" w:line="240" w:lineRule="auto"/>
              <w:jc w:val="center"/>
              <w:rPr>
                <w:rFonts w:ascii="Verdana" w:hAnsi="Verdana"/>
                <w:color w:val="000000"/>
                <w:kern w:val="0"/>
                <w:sz w:val="16"/>
                <w14:ligatures w14:val="none"/>
              </w:rPr>
            </w:pPr>
            <w:r w:rsidRPr="00F922E2">
              <w:rPr>
                <w:rFonts w:ascii="Verdana" w:hAnsi="Verdana"/>
                <w:color w:val="000000"/>
                <w:kern w:val="0"/>
                <w:sz w:val="16"/>
                <w14:ligatures w14:val="none"/>
              </w:rPr>
              <w:t>31 de mayo</w:t>
            </w:r>
          </w:p>
        </w:tc>
        <w:tc>
          <w:tcPr>
            <w:tcW w:w="2067" w:type="dxa"/>
            <w:shd w:val="clear" w:color="auto" w:fill="auto"/>
            <w:vAlign w:val="center"/>
            <w:hideMark/>
          </w:tcPr>
          <w:p w14:paraId="32A7E983" w14:textId="77777777" w:rsidR="009812DE" w:rsidRPr="00F922E2" w:rsidRDefault="009812DE" w:rsidP="000E2940">
            <w:pPr>
              <w:spacing w:after="0" w:line="240" w:lineRule="auto"/>
              <w:jc w:val="center"/>
              <w:rPr>
                <w:rFonts w:ascii="Verdana" w:hAnsi="Verdana"/>
                <w:color w:val="000000"/>
                <w:kern w:val="0"/>
                <w:sz w:val="16"/>
                <w14:ligatures w14:val="none"/>
              </w:rPr>
            </w:pPr>
            <w:r w:rsidRPr="00F922E2">
              <w:rPr>
                <w:rFonts w:ascii="Verdana" w:hAnsi="Verdana"/>
                <w:color w:val="000000"/>
                <w:kern w:val="0"/>
                <w:sz w:val="16"/>
                <w14:ligatures w14:val="none"/>
              </w:rPr>
              <w:t>Diez (10) primeros días calendario junio</w:t>
            </w:r>
          </w:p>
        </w:tc>
      </w:tr>
      <w:tr w:rsidR="009812DE" w:rsidRPr="00EA389A" w14:paraId="6F83026E" w14:textId="77777777" w:rsidTr="00A80A8F">
        <w:trPr>
          <w:trHeight w:val="151"/>
          <w:tblHeader/>
          <w:jc w:val="center"/>
        </w:trPr>
        <w:tc>
          <w:tcPr>
            <w:tcW w:w="6374" w:type="dxa"/>
            <w:vMerge/>
            <w:vAlign w:val="center"/>
            <w:hideMark/>
          </w:tcPr>
          <w:p w14:paraId="5AD07B99" w14:textId="77777777" w:rsidR="009812DE" w:rsidRPr="00802D92" w:rsidRDefault="009812DE" w:rsidP="000E2940">
            <w:pPr>
              <w:spacing w:after="0" w:line="240" w:lineRule="auto"/>
              <w:rPr>
                <w:rFonts w:ascii="Verdana" w:hAnsi="Verdana"/>
                <w:color w:val="000000"/>
                <w:kern w:val="0"/>
                <w:sz w:val="16"/>
                <w14:ligatures w14:val="none"/>
              </w:rPr>
            </w:pPr>
          </w:p>
        </w:tc>
        <w:tc>
          <w:tcPr>
            <w:tcW w:w="1701" w:type="dxa"/>
            <w:shd w:val="clear" w:color="auto" w:fill="auto"/>
            <w:vAlign w:val="center"/>
            <w:hideMark/>
          </w:tcPr>
          <w:p w14:paraId="0B228D34" w14:textId="77777777" w:rsidR="009812DE" w:rsidRPr="00802D92" w:rsidRDefault="009812DE" w:rsidP="000E2940">
            <w:pPr>
              <w:spacing w:after="0" w:line="240" w:lineRule="auto"/>
              <w:jc w:val="center"/>
              <w:rPr>
                <w:rFonts w:ascii="Verdana" w:hAnsi="Verdana"/>
                <w:color w:val="000000"/>
                <w:kern w:val="0"/>
                <w:sz w:val="16"/>
                <w14:ligatures w14:val="none"/>
              </w:rPr>
            </w:pPr>
            <w:r w:rsidRPr="00802D92">
              <w:rPr>
                <w:rFonts w:ascii="Verdana" w:hAnsi="Verdana"/>
                <w:color w:val="000000"/>
                <w:kern w:val="0"/>
                <w:sz w:val="16"/>
                <w14:ligatures w14:val="none"/>
              </w:rPr>
              <w:t>30 de noviembre</w:t>
            </w:r>
          </w:p>
        </w:tc>
        <w:tc>
          <w:tcPr>
            <w:tcW w:w="2067" w:type="dxa"/>
            <w:shd w:val="clear" w:color="auto" w:fill="auto"/>
            <w:vAlign w:val="center"/>
            <w:hideMark/>
          </w:tcPr>
          <w:p w14:paraId="478FB797" w14:textId="77777777" w:rsidR="009812DE" w:rsidRPr="00802D92" w:rsidRDefault="009812DE" w:rsidP="000E2940">
            <w:pPr>
              <w:spacing w:after="0" w:line="240" w:lineRule="auto"/>
              <w:jc w:val="center"/>
              <w:rPr>
                <w:rFonts w:ascii="Verdana" w:hAnsi="Verdana"/>
                <w:color w:val="000000"/>
                <w:kern w:val="0"/>
                <w:sz w:val="16"/>
                <w14:ligatures w14:val="none"/>
              </w:rPr>
            </w:pPr>
            <w:r w:rsidRPr="00802D92">
              <w:rPr>
                <w:rFonts w:ascii="Verdana" w:hAnsi="Verdana"/>
                <w:color w:val="000000"/>
                <w:kern w:val="0"/>
                <w:sz w:val="16"/>
                <w14:ligatures w14:val="none"/>
              </w:rPr>
              <w:t>Diez (10) primeros días calendario diciembre</w:t>
            </w:r>
          </w:p>
        </w:tc>
      </w:tr>
      <w:tr w:rsidR="00A80A8F" w:rsidRPr="00EA389A" w14:paraId="4F883322" w14:textId="77777777" w:rsidTr="00A80A8F">
        <w:trPr>
          <w:trHeight w:val="151"/>
          <w:tblHeader/>
          <w:jc w:val="center"/>
        </w:trPr>
        <w:tc>
          <w:tcPr>
            <w:tcW w:w="6374" w:type="dxa"/>
            <w:vAlign w:val="center"/>
          </w:tcPr>
          <w:p w14:paraId="789B21BE" w14:textId="7E9D90FE" w:rsidR="00A80A8F" w:rsidRPr="00F922E2" w:rsidRDefault="00A80A8F" w:rsidP="000E2940">
            <w:pPr>
              <w:spacing w:after="0" w:line="240" w:lineRule="auto"/>
              <w:rPr>
                <w:rFonts w:ascii="Verdana" w:hAnsi="Verdana"/>
                <w:color w:val="000000"/>
                <w:kern w:val="0"/>
                <w:sz w:val="16"/>
                <w14:ligatures w14:val="none"/>
              </w:rPr>
            </w:pPr>
            <w:r w:rsidRPr="00F922E2">
              <w:rPr>
                <w:rFonts w:ascii="Verdana" w:hAnsi="Verdana"/>
                <w:color w:val="000000"/>
                <w:kern w:val="0"/>
                <w:sz w:val="16"/>
                <w14:ligatures w14:val="none"/>
              </w:rPr>
              <w:t>Boletín de Deudores Morosos del Estado (BDME). Formularios permanentes:</w:t>
            </w:r>
          </w:p>
          <w:p w14:paraId="726A70FA" w14:textId="77777777" w:rsidR="00A80A8F" w:rsidRPr="00F922E2" w:rsidRDefault="00A80A8F" w:rsidP="000E2940">
            <w:pPr>
              <w:spacing w:after="0" w:line="240" w:lineRule="auto"/>
              <w:rPr>
                <w:rFonts w:ascii="Verdana" w:hAnsi="Verdana"/>
                <w:color w:val="000000"/>
                <w:kern w:val="0"/>
                <w:sz w:val="16"/>
                <w14:ligatures w14:val="none"/>
              </w:rPr>
            </w:pPr>
            <w:r w:rsidRPr="00F922E2">
              <w:rPr>
                <w:rFonts w:ascii="Verdana" w:hAnsi="Verdana"/>
                <w:color w:val="000000"/>
                <w:kern w:val="0"/>
                <w:sz w:val="16"/>
                <w14:ligatures w14:val="none"/>
              </w:rPr>
              <w:t>- CGN2009_BDME_RETIROS</w:t>
            </w:r>
          </w:p>
          <w:p w14:paraId="787D29DE" w14:textId="77777777" w:rsidR="00A80A8F" w:rsidRPr="00F922E2" w:rsidRDefault="00A80A8F" w:rsidP="000E2940">
            <w:pPr>
              <w:spacing w:after="0" w:line="240" w:lineRule="auto"/>
              <w:rPr>
                <w:rFonts w:ascii="Verdana" w:hAnsi="Verdana"/>
                <w:color w:val="000000"/>
                <w:kern w:val="0"/>
                <w:sz w:val="16"/>
                <w14:ligatures w14:val="none"/>
              </w:rPr>
            </w:pPr>
            <w:r w:rsidRPr="00F922E2">
              <w:rPr>
                <w:rFonts w:ascii="Verdana" w:hAnsi="Verdana"/>
                <w:color w:val="000000"/>
                <w:kern w:val="0"/>
                <w:sz w:val="16"/>
                <w14:ligatures w14:val="none"/>
              </w:rPr>
              <w:t>- CGN2009_BDME_CANCELACION_ACUERDO_DE_PAGO</w:t>
            </w:r>
          </w:p>
          <w:p w14:paraId="71C1A256" w14:textId="74BC1E02" w:rsidR="00A80A8F" w:rsidRPr="00F922E2" w:rsidRDefault="00A80A8F" w:rsidP="000E2940">
            <w:pPr>
              <w:spacing w:after="0" w:line="240" w:lineRule="auto"/>
              <w:rPr>
                <w:rFonts w:ascii="Verdana" w:hAnsi="Verdana"/>
                <w:color w:val="000000"/>
                <w:kern w:val="0"/>
                <w:sz w:val="16"/>
                <w14:ligatures w14:val="none"/>
              </w:rPr>
            </w:pPr>
            <w:r w:rsidRPr="00F922E2">
              <w:rPr>
                <w:rFonts w:ascii="Verdana" w:hAnsi="Verdana"/>
                <w:color w:val="000000"/>
                <w:kern w:val="0"/>
                <w:sz w:val="16"/>
                <w14:ligatures w14:val="none"/>
              </w:rPr>
              <w:t>- CGN2011_BDME_ACTUALIZACIÓN</w:t>
            </w:r>
          </w:p>
        </w:tc>
        <w:tc>
          <w:tcPr>
            <w:tcW w:w="3768" w:type="dxa"/>
            <w:gridSpan w:val="2"/>
            <w:shd w:val="clear" w:color="auto" w:fill="auto"/>
            <w:vAlign w:val="center"/>
          </w:tcPr>
          <w:p w14:paraId="44C91CA8" w14:textId="77777777" w:rsidR="000E2940" w:rsidRPr="00F922E2" w:rsidRDefault="00A80A8F" w:rsidP="000E2940">
            <w:pPr>
              <w:spacing w:after="0" w:line="240" w:lineRule="auto"/>
              <w:jc w:val="center"/>
              <w:rPr>
                <w:rFonts w:ascii="Verdana" w:hAnsi="Verdana"/>
                <w:color w:val="000000"/>
                <w:kern w:val="0"/>
                <w:sz w:val="16"/>
                <w14:ligatures w14:val="none"/>
              </w:rPr>
            </w:pPr>
            <w:r w:rsidRPr="00F922E2">
              <w:rPr>
                <w:rFonts w:ascii="Verdana" w:hAnsi="Verdana"/>
                <w:color w:val="000000"/>
                <w:kern w:val="0"/>
                <w:sz w:val="16"/>
                <w14:ligatures w14:val="none"/>
              </w:rPr>
              <w:t>Diario</w:t>
            </w:r>
          </w:p>
          <w:p w14:paraId="6B2D9A60" w14:textId="2E49008D" w:rsidR="00A80A8F" w:rsidRPr="00F922E2" w:rsidRDefault="000E2940" w:rsidP="000E2940">
            <w:pPr>
              <w:spacing w:after="0" w:line="240" w:lineRule="auto"/>
              <w:jc w:val="center"/>
              <w:rPr>
                <w:rFonts w:ascii="Verdana" w:hAnsi="Verdana"/>
                <w:color w:val="000000"/>
                <w:kern w:val="0"/>
                <w:sz w:val="16"/>
                <w14:ligatures w14:val="none"/>
              </w:rPr>
            </w:pPr>
            <w:r w:rsidRPr="00F922E2">
              <w:rPr>
                <w:rFonts w:ascii="Verdana" w:hAnsi="Verdana"/>
                <w:color w:val="000000"/>
                <w:kern w:val="0"/>
                <w:sz w:val="16"/>
                <w14:ligatures w14:val="none"/>
              </w:rPr>
              <w:t>S</w:t>
            </w:r>
            <w:r w:rsidR="00A80A8F" w:rsidRPr="00F922E2">
              <w:rPr>
                <w:rFonts w:ascii="Verdana" w:hAnsi="Verdana"/>
                <w:color w:val="000000"/>
                <w:kern w:val="0"/>
                <w:sz w:val="16"/>
                <w14:ligatures w14:val="none"/>
              </w:rPr>
              <w:t xml:space="preserve">egún corresponda </w:t>
            </w:r>
            <w:r w:rsidRPr="00F922E2">
              <w:rPr>
                <w:rFonts w:ascii="Verdana" w:hAnsi="Verdana"/>
                <w:color w:val="000000"/>
                <w:kern w:val="0"/>
                <w:sz w:val="16"/>
                <w14:ligatures w14:val="none"/>
              </w:rPr>
              <w:t>con</w:t>
            </w:r>
            <w:r w:rsidR="00A80A8F" w:rsidRPr="00F922E2">
              <w:rPr>
                <w:rFonts w:ascii="Verdana" w:hAnsi="Verdana"/>
                <w:color w:val="000000"/>
                <w:kern w:val="0"/>
                <w:sz w:val="16"/>
                <w14:ligatures w14:val="none"/>
              </w:rPr>
              <w:t xml:space="preserve"> las actuaciones </w:t>
            </w:r>
            <w:r w:rsidRPr="00F922E2">
              <w:rPr>
                <w:rFonts w:ascii="Verdana" w:hAnsi="Verdana"/>
                <w:color w:val="000000"/>
                <w:kern w:val="0"/>
                <w:sz w:val="16"/>
                <w14:ligatures w14:val="none"/>
              </w:rPr>
              <w:t xml:space="preserve">de las entidades </w:t>
            </w:r>
            <w:r w:rsidR="00A80A8F" w:rsidRPr="00F922E2">
              <w:rPr>
                <w:rFonts w:ascii="Verdana" w:hAnsi="Verdana"/>
                <w:color w:val="000000"/>
                <w:kern w:val="0"/>
                <w:sz w:val="16"/>
                <w14:ligatures w14:val="none"/>
              </w:rPr>
              <w:t>en cada caso</w:t>
            </w:r>
          </w:p>
        </w:tc>
      </w:tr>
    </w:tbl>
    <w:p w14:paraId="31F856D5" w14:textId="77777777" w:rsidR="009812DE" w:rsidRPr="00EA389A" w:rsidRDefault="009812DE" w:rsidP="000E2940">
      <w:pPr>
        <w:spacing w:after="0" w:line="240" w:lineRule="auto"/>
        <w:jc w:val="both"/>
        <w:rPr>
          <w:rFonts w:ascii="Verdana" w:hAnsi="Verdana"/>
          <w:b/>
          <w:bCs/>
        </w:rPr>
      </w:pPr>
    </w:p>
    <w:p w14:paraId="1F27FA27" w14:textId="20D36C23" w:rsidR="009812DE" w:rsidRPr="00EA389A" w:rsidRDefault="009812DE" w:rsidP="000E2940">
      <w:pPr>
        <w:spacing w:after="0" w:line="240" w:lineRule="auto"/>
        <w:jc w:val="both"/>
        <w:rPr>
          <w:rFonts w:ascii="Verdana" w:hAnsi="Verdana"/>
        </w:rPr>
      </w:pPr>
      <w:r w:rsidRPr="00EA389A">
        <w:rPr>
          <w:rFonts w:ascii="Verdana" w:hAnsi="Verdana"/>
          <w:b/>
          <w:bCs/>
        </w:rPr>
        <w:t>PAR</w:t>
      </w:r>
      <w:r w:rsidR="003B4D6F" w:rsidRPr="00EA389A">
        <w:rPr>
          <w:rFonts w:ascii="Verdana" w:hAnsi="Verdana"/>
          <w:b/>
          <w:bCs/>
        </w:rPr>
        <w:t>Á</w:t>
      </w:r>
      <w:r w:rsidRPr="00EA389A">
        <w:rPr>
          <w:rFonts w:ascii="Verdana" w:hAnsi="Verdana"/>
          <w:b/>
          <w:bCs/>
        </w:rPr>
        <w:t xml:space="preserve">GRAFO 1. </w:t>
      </w:r>
      <w:r w:rsidRPr="00EA389A">
        <w:rPr>
          <w:rFonts w:ascii="Verdana" w:hAnsi="Verdana"/>
        </w:rPr>
        <w:t xml:space="preserve"> El </w:t>
      </w:r>
      <w:r w:rsidR="00967935">
        <w:rPr>
          <w:rFonts w:ascii="Verdana" w:hAnsi="Verdana"/>
        </w:rPr>
        <w:t>r</w:t>
      </w:r>
      <w:r w:rsidRPr="00EA389A">
        <w:rPr>
          <w:rFonts w:ascii="Verdana" w:hAnsi="Verdana"/>
        </w:rPr>
        <w:t xml:space="preserve">epresentante </w:t>
      </w:r>
      <w:r w:rsidR="00967935">
        <w:rPr>
          <w:rFonts w:ascii="Verdana" w:hAnsi="Verdana"/>
        </w:rPr>
        <w:t>l</w:t>
      </w:r>
      <w:r w:rsidRPr="00EA389A">
        <w:rPr>
          <w:rFonts w:ascii="Verdana" w:hAnsi="Verdana"/>
        </w:rPr>
        <w:t xml:space="preserve">egal y el </w:t>
      </w:r>
      <w:r w:rsidR="00967935">
        <w:rPr>
          <w:rFonts w:ascii="Verdana" w:hAnsi="Verdana"/>
        </w:rPr>
        <w:t>c</w:t>
      </w:r>
      <w:r w:rsidRPr="00EA389A">
        <w:rPr>
          <w:rFonts w:ascii="Verdana" w:hAnsi="Verdana"/>
        </w:rPr>
        <w:t xml:space="preserve">ontador </w:t>
      </w:r>
      <w:r w:rsidR="00967935">
        <w:rPr>
          <w:rFonts w:ascii="Verdana" w:hAnsi="Verdana"/>
        </w:rPr>
        <w:t>p</w:t>
      </w:r>
      <w:r w:rsidRPr="00EA389A">
        <w:rPr>
          <w:rFonts w:ascii="Verdana" w:hAnsi="Verdana"/>
        </w:rPr>
        <w:t>úblico que tengan a su cargo la contabilidad de una entidad pública y la agregación de la información de otras entidades y organismos sin personería jurídica, adoptarán los criterios administrativos y operativos internos que consideren necesarios para efectos de elaborar, en forma oportuna, los formularios agregados de las categorías ICPC y BDME para reportarlos a la CGN en las fechas definidas en el presente artículo.</w:t>
      </w:r>
    </w:p>
    <w:p w14:paraId="6C8F2328" w14:textId="77777777" w:rsidR="009812DE" w:rsidRPr="00EA389A" w:rsidRDefault="009812DE" w:rsidP="000E2940">
      <w:pPr>
        <w:spacing w:after="0" w:line="240" w:lineRule="auto"/>
        <w:jc w:val="both"/>
        <w:rPr>
          <w:rFonts w:ascii="Verdana" w:hAnsi="Verdana"/>
        </w:rPr>
      </w:pPr>
    </w:p>
    <w:p w14:paraId="4A44ABC5" w14:textId="666E8288" w:rsidR="009812DE" w:rsidRPr="00EA389A" w:rsidRDefault="009812DE" w:rsidP="000E2940">
      <w:pPr>
        <w:spacing w:after="0" w:line="240" w:lineRule="auto"/>
        <w:jc w:val="both"/>
        <w:rPr>
          <w:rFonts w:ascii="Verdana" w:hAnsi="Verdana"/>
        </w:rPr>
      </w:pPr>
      <w:r w:rsidRPr="00EA389A">
        <w:rPr>
          <w:rFonts w:ascii="Verdana" w:hAnsi="Verdana"/>
        </w:rPr>
        <w:t xml:space="preserve">Así mismo, para el reporte de la categoría ECIC, la responsabilidad en las entidades públicas de la agregación corresponde al </w:t>
      </w:r>
      <w:r w:rsidR="00967935">
        <w:rPr>
          <w:rFonts w:ascii="Verdana" w:hAnsi="Verdana"/>
        </w:rPr>
        <w:t>r</w:t>
      </w:r>
      <w:r w:rsidRPr="00EA389A">
        <w:rPr>
          <w:rFonts w:ascii="Verdana" w:hAnsi="Verdana"/>
        </w:rPr>
        <w:t xml:space="preserve">epresentante </w:t>
      </w:r>
      <w:r w:rsidR="00967935">
        <w:rPr>
          <w:rFonts w:ascii="Verdana" w:hAnsi="Verdana"/>
        </w:rPr>
        <w:t>l</w:t>
      </w:r>
      <w:r w:rsidRPr="00EA389A">
        <w:rPr>
          <w:rFonts w:ascii="Verdana" w:hAnsi="Verdana"/>
        </w:rPr>
        <w:t xml:space="preserve">egal y al </w:t>
      </w:r>
      <w:r w:rsidR="00967935">
        <w:rPr>
          <w:rFonts w:ascii="Verdana" w:hAnsi="Verdana"/>
        </w:rPr>
        <w:t>j</w:t>
      </w:r>
      <w:r w:rsidR="003004C4" w:rsidRPr="00EA389A">
        <w:rPr>
          <w:rFonts w:ascii="Verdana" w:hAnsi="Verdana"/>
        </w:rPr>
        <w:t>efe</w:t>
      </w:r>
      <w:r w:rsidRPr="00EA389A">
        <w:rPr>
          <w:rFonts w:ascii="Verdana" w:hAnsi="Verdana"/>
        </w:rPr>
        <w:t xml:space="preserve"> de la oficina de control interno o quien haga sus veces.</w:t>
      </w:r>
    </w:p>
    <w:p w14:paraId="477E7052" w14:textId="77777777" w:rsidR="009812DE" w:rsidRPr="00EA389A" w:rsidRDefault="009812DE" w:rsidP="000E2940">
      <w:pPr>
        <w:spacing w:after="0" w:line="240" w:lineRule="auto"/>
        <w:jc w:val="both"/>
        <w:rPr>
          <w:rFonts w:ascii="Verdana" w:hAnsi="Verdana"/>
        </w:rPr>
      </w:pPr>
    </w:p>
    <w:p w14:paraId="58A7C5C4" w14:textId="21FEF986" w:rsidR="009812DE" w:rsidRPr="00EA389A" w:rsidRDefault="009812DE" w:rsidP="000E2940">
      <w:pPr>
        <w:spacing w:after="0" w:line="240" w:lineRule="auto"/>
        <w:jc w:val="both"/>
        <w:rPr>
          <w:rFonts w:ascii="Verdana" w:hAnsi="Verdana"/>
        </w:rPr>
      </w:pPr>
      <w:r w:rsidRPr="00EA389A">
        <w:rPr>
          <w:rFonts w:ascii="Verdana" w:hAnsi="Verdana"/>
          <w:b/>
          <w:bCs/>
        </w:rPr>
        <w:t>PAR</w:t>
      </w:r>
      <w:r w:rsidR="003B4D6F" w:rsidRPr="00EA389A">
        <w:rPr>
          <w:rFonts w:ascii="Verdana" w:hAnsi="Verdana"/>
          <w:b/>
          <w:bCs/>
        </w:rPr>
        <w:t>Á</w:t>
      </w:r>
      <w:r w:rsidRPr="00EA389A">
        <w:rPr>
          <w:rFonts w:ascii="Verdana" w:hAnsi="Verdana"/>
          <w:b/>
          <w:bCs/>
        </w:rPr>
        <w:t xml:space="preserve">GRAFO 2. </w:t>
      </w:r>
      <w:r w:rsidRPr="00EA389A">
        <w:rPr>
          <w:rFonts w:ascii="Verdana" w:hAnsi="Verdana"/>
        </w:rPr>
        <w:t>La CGN otorgará prórrogas para el reporte de la categoría ICPC, únicamente cuando condiciones de materialidad o situaciones contingentes demostradas, afecten el proceso de consolidación. Para tal efecto, la CGN emitirá el respectivo acto administrativo señalando las entidades y los plazos para presentar la información.</w:t>
      </w:r>
    </w:p>
    <w:p w14:paraId="4657303C" w14:textId="06B7EE3B" w:rsidR="009812DE" w:rsidRPr="00EA389A" w:rsidRDefault="009812DE" w:rsidP="000E2940">
      <w:pPr>
        <w:spacing w:after="0" w:line="240" w:lineRule="auto"/>
        <w:jc w:val="both"/>
        <w:rPr>
          <w:rFonts w:ascii="Verdana" w:hAnsi="Verdana"/>
        </w:rPr>
      </w:pPr>
    </w:p>
    <w:p w14:paraId="7CCFA664" w14:textId="77777777" w:rsidR="009812DE" w:rsidRPr="00EA389A" w:rsidRDefault="009812DE" w:rsidP="000E2940">
      <w:pPr>
        <w:spacing w:after="0" w:line="240" w:lineRule="auto"/>
        <w:jc w:val="center"/>
        <w:rPr>
          <w:rFonts w:ascii="Verdana" w:hAnsi="Verdana"/>
          <w:b/>
          <w:bCs/>
        </w:rPr>
      </w:pPr>
      <w:r w:rsidRPr="00EA389A">
        <w:rPr>
          <w:rFonts w:ascii="Verdana" w:hAnsi="Verdana"/>
          <w:b/>
          <w:bCs/>
        </w:rPr>
        <w:t>CAPITULO II</w:t>
      </w:r>
    </w:p>
    <w:p w14:paraId="452F41D7" w14:textId="77777777" w:rsidR="009812DE" w:rsidRPr="00EA389A" w:rsidRDefault="009812DE" w:rsidP="000E2940">
      <w:pPr>
        <w:spacing w:after="0" w:line="240" w:lineRule="auto"/>
        <w:jc w:val="center"/>
        <w:rPr>
          <w:rFonts w:ascii="Verdana" w:hAnsi="Verdana"/>
          <w:b/>
          <w:bCs/>
        </w:rPr>
      </w:pPr>
    </w:p>
    <w:p w14:paraId="40FDA428" w14:textId="77777777" w:rsidR="009812DE" w:rsidRPr="00EA389A" w:rsidRDefault="009812DE" w:rsidP="000E2940">
      <w:pPr>
        <w:spacing w:after="0" w:line="240" w:lineRule="auto"/>
        <w:jc w:val="center"/>
        <w:rPr>
          <w:rFonts w:ascii="Verdana" w:hAnsi="Verdana"/>
          <w:b/>
          <w:bCs/>
        </w:rPr>
      </w:pPr>
      <w:r w:rsidRPr="00EA389A">
        <w:rPr>
          <w:rFonts w:ascii="Verdana" w:hAnsi="Verdana"/>
          <w:b/>
          <w:bCs/>
        </w:rPr>
        <w:t>OTRAS DISPOSICIONES</w:t>
      </w:r>
    </w:p>
    <w:p w14:paraId="5D8F5E35" w14:textId="77777777" w:rsidR="009812DE" w:rsidRPr="00EA389A" w:rsidRDefault="009812DE" w:rsidP="000E2940">
      <w:pPr>
        <w:spacing w:after="0" w:line="240" w:lineRule="auto"/>
        <w:jc w:val="center"/>
        <w:rPr>
          <w:rFonts w:ascii="Verdana" w:hAnsi="Verdana"/>
          <w:b/>
          <w:bCs/>
        </w:rPr>
      </w:pPr>
    </w:p>
    <w:p w14:paraId="601E02A0" w14:textId="312AAD2B" w:rsidR="009812DE" w:rsidRPr="00EA389A" w:rsidRDefault="009812DE" w:rsidP="000E2940">
      <w:pPr>
        <w:spacing w:after="0" w:line="240" w:lineRule="auto"/>
        <w:jc w:val="both"/>
        <w:rPr>
          <w:rFonts w:ascii="Verdana" w:hAnsi="Verdana"/>
          <w:lang w:val="es-ES_tradnl"/>
        </w:rPr>
      </w:pPr>
      <w:r w:rsidRPr="00EA389A">
        <w:rPr>
          <w:rFonts w:ascii="Verdana" w:hAnsi="Verdana"/>
          <w:b/>
          <w:bCs/>
        </w:rPr>
        <w:t xml:space="preserve">ARTÍCULO 12°. </w:t>
      </w:r>
      <w:r w:rsidRPr="00EA389A">
        <w:rPr>
          <w:rFonts w:ascii="Verdana" w:hAnsi="Verdana"/>
          <w:b/>
          <w:bCs/>
          <w:lang w:val="es-ES_tradnl"/>
        </w:rPr>
        <w:t xml:space="preserve">APROBACIÓN DE INFORMES POR </w:t>
      </w:r>
      <w:r w:rsidR="003B4D6F" w:rsidRPr="00EA389A">
        <w:rPr>
          <w:rFonts w:ascii="Verdana" w:hAnsi="Verdana"/>
          <w:b/>
          <w:bCs/>
          <w:lang w:val="es-ES_tradnl"/>
        </w:rPr>
        <w:t>Ó</w:t>
      </w:r>
      <w:r w:rsidRPr="00EA389A">
        <w:rPr>
          <w:rFonts w:ascii="Verdana" w:hAnsi="Verdana"/>
          <w:b/>
          <w:bCs/>
          <w:lang w:val="es-ES_tradnl"/>
        </w:rPr>
        <w:t>RGANOS CORPORATIVOS.</w:t>
      </w:r>
      <w:r w:rsidRPr="00EA389A">
        <w:rPr>
          <w:rFonts w:ascii="Verdana" w:hAnsi="Verdana"/>
          <w:lang w:val="es-ES_tradnl"/>
        </w:rPr>
        <w:t xml:space="preserve"> Las entidades públicas sujetas al ámbito de aplicación del RCP deberán remitir a la CGN la información financiera con fecha de corte 31 de diciembre, en los plazos establecidos en el artículo 11° de la presente </w:t>
      </w:r>
      <w:r w:rsidR="003D692D">
        <w:rPr>
          <w:rFonts w:ascii="Verdana" w:hAnsi="Verdana"/>
          <w:lang w:val="es-ES_tradnl"/>
        </w:rPr>
        <w:t>r</w:t>
      </w:r>
      <w:r w:rsidRPr="00EA389A">
        <w:rPr>
          <w:rFonts w:ascii="Verdana" w:hAnsi="Verdana"/>
          <w:lang w:val="es-ES_tradnl"/>
        </w:rPr>
        <w:t>esolución, con independencia de que esta requiera ser aprobada por el órgano corporativo que corresponda. Cuando la información sea modificada por soli</w:t>
      </w:r>
      <w:r w:rsidR="000F5A67" w:rsidRPr="00EA389A">
        <w:rPr>
          <w:rFonts w:ascii="Verdana" w:hAnsi="Verdana"/>
          <w:lang w:val="es-ES_tradnl"/>
        </w:rPr>
        <w:t>ci</w:t>
      </w:r>
      <w:r w:rsidRPr="00EA389A">
        <w:rPr>
          <w:rFonts w:ascii="Verdana" w:hAnsi="Verdana"/>
          <w:lang w:val="es-ES_tradnl"/>
        </w:rPr>
        <w:t>tud del órgano corporativo deberá presentarse nuevamente dentro de los 10 días hábiles siguientes a su aprobación.</w:t>
      </w:r>
    </w:p>
    <w:p w14:paraId="51FDB4BB" w14:textId="77777777" w:rsidR="004D4074" w:rsidRPr="00EA389A" w:rsidRDefault="004D4074" w:rsidP="000E2940">
      <w:pPr>
        <w:spacing w:after="0" w:line="240" w:lineRule="auto"/>
        <w:jc w:val="both"/>
        <w:rPr>
          <w:rFonts w:ascii="Verdana" w:hAnsi="Verdana"/>
          <w:b/>
          <w:bCs/>
        </w:rPr>
      </w:pPr>
    </w:p>
    <w:p w14:paraId="0D9A5B23" w14:textId="197747E6" w:rsidR="009812DE" w:rsidRPr="00EA389A" w:rsidRDefault="009812DE" w:rsidP="000E2940">
      <w:pPr>
        <w:spacing w:after="0" w:line="240" w:lineRule="auto"/>
        <w:jc w:val="both"/>
        <w:rPr>
          <w:rFonts w:ascii="Verdana" w:hAnsi="Verdana"/>
          <w:strike/>
        </w:rPr>
      </w:pPr>
      <w:r w:rsidRPr="00EA389A">
        <w:rPr>
          <w:rFonts w:ascii="Verdana" w:hAnsi="Verdana"/>
          <w:b/>
          <w:bCs/>
        </w:rPr>
        <w:t>PAR</w:t>
      </w:r>
      <w:r w:rsidR="00A64DDA" w:rsidRPr="00EA389A">
        <w:rPr>
          <w:rFonts w:ascii="Verdana" w:hAnsi="Verdana"/>
          <w:b/>
          <w:bCs/>
        </w:rPr>
        <w:t>Á</w:t>
      </w:r>
      <w:r w:rsidRPr="00EA389A">
        <w:rPr>
          <w:rFonts w:ascii="Verdana" w:hAnsi="Verdana"/>
          <w:b/>
          <w:bCs/>
        </w:rPr>
        <w:t xml:space="preserve">GRAFO. </w:t>
      </w:r>
      <w:r w:rsidRPr="00EA389A">
        <w:rPr>
          <w:rFonts w:ascii="Verdana" w:hAnsi="Verdana"/>
        </w:rPr>
        <w:t>La información reportada con posterioridad a la fecha del proceso definitivo de consolidación no hará parte de los informes consolidados. Por tanto, solo se tendrá en cuenta para efectos estadísticos</w:t>
      </w:r>
      <w:r w:rsidR="002C1037" w:rsidRPr="00EA389A">
        <w:rPr>
          <w:rFonts w:ascii="Verdana" w:hAnsi="Verdana"/>
        </w:rPr>
        <w:t xml:space="preserve"> y de control</w:t>
      </w:r>
      <w:r w:rsidRPr="00EA389A">
        <w:rPr>
          <w:rFonts w:ascii="Verdana" w:hAnsi="Verdana"/>
        </w:rPr>
        <w:t>.</w:t>
      </w:r>
    </w:p>
    <w:p w14:paraId="451DB928" w14:textId="77777777" w:rsidR="003004C4" w:rsidRPr="00EA389A" w:rsidRDefault="003004C4" w:rsidP="000E2940">
      <w:pPr>
        <w:spacing w:after="0" w:line="240" w:lineRule="auto"/>
        <w:jc w:val="both"/>
        <w:rPr>
          <w:rFonts w:ascii="Verdana" w:hAnsi="Verdana"/>
        </w:rPr>
      </w:pPr>
    </w:p>
    <w:p w14:paraId="718C9485" w14:textId="52DE212F" w:rsidR="009812DE" w:rsidRPr="00EA389A" w:rsidRDefault="009812DE" w:rsidP="000E2940">
      <w:pPr>
        <w:spacing w:after="0" w:line="240" w:lineRule="auto"/>
        <w:jc w:val="both"/>
        <w:rPr>
          <w:rFonts w:ascii="Verdana" w:hAnsi="Verdana"/>
          <w:lang w:val="es-ES_tradnl"/>
        </w:rPr>
      </w:pPr>
      <w:r w:rsidRPr="00EA389A">
        <w:rPr>
          <w:rFonts w:ascii="Verdana" w:hAnsi="Verdana"/>
          <w:b/>
          <w:bCs/>
        </w:rPr>
        <w:t xml:space="preserve">ARTÍCULO 13°. </w:t>
      </w:r>
      <w:r w:rsidRPr="00EA389A">
        <w:rPr>
          <w:rFonts w:ascii="Verdana" w:hAnsi="Verdana"/>
          <w:b/>
          <w:bCs/>
          <w:lang w:val="es-ES_tradnl"/>
        </w:rPr>
        <w:t>MODIFICACI</w:t>
      </w:r>
      <w:r w:rsidR="000F5A67" w:rsidRPr="00EA389A">
        <w:rPr>
          <w:rFonts w:ascii="Verdana" w:hAnsi="Verdana"/>
          <w:b/>
          <w:bCs/>
          <w:lang w:val="es-ES_tradnl"/>
        </w:rPr>
        <w:t>Ó</w:t>
      </w:r>
      <w:r w:rsidRPr="00EA389A">
        <w:rPr>
          <w:rFonts w:ascii="Verdana" w:hAnsi="Verdana"/>
          <w:b/>
          <w:bCs/>
          <w:lang w:val="es-ES_tradnl"/>
        </w:rPr>
        <w:t>N DE INFORMACI</w:t>
      </w:r>
      <w:r w:rsidR="000F5A67" w:rsidRPr="00EA389A">
        <w:rPr>
          <w:rFonts w:ascii="Verdana" w:hAnsi="Verdana"/>
          <w:b/>
          <w:bCs/>
          <w:lang w:val="es-ES_tradnl"/>
        </w:rPr>
        <w:t>Ó</w:t>
      </w:r>
      <w:r w:rsidRPr="00EA389A">
        <w:rPr>
          <w:rFonts w:ascii="Verdana" w:hAnsi="Verdana"/>
          <w:b/>
          <w:bCs/>
          <w:lang w:val="es-ES_tradnl"/>
        </w:rPr>
        <w:t>N.</w:t>
      </w:r>
      <w:r w:rsidRPr="00EA389A">
        <w:rPr>
          <w:rFonts w:ascii="Verdana" w:hAnsi="Verdana"/>
          <w:lang w:val="es-ES_tradnl"/>
        </w:rPr>
        <w:t xml:space="preserve"> Si en cumplimiento de las funciones constitucionales de centralizar y consolidar la información, la CGN solicita a las entidades públicas la modificación de la información reportada, estas deberán proceder al envío inmediato de la categoría de información ajustada.</w:t>
      </w:r>
    </w:p>
    <w:p w14:paraId="392AA389" w14:textId="77777777" w:rsidR="009812DE" w:rsidRPr="00EA389A" w:rsidRDefault="009812DE" w:rsidP="000E2940">
      <w:pPr>
        <w:spacing w:after="0" w:line="240" w:lineRule="auto"/>
        <w:jc w:val="both"/>
        <w:rPr>
          <w:rFonts w:ascii="Verdana" w:hAnsi="Verdana"/>
          <w:lang w:val="es-ES_tradnl"/>
        </w:rPr>
      </w:pPr>
    </w:p>
    <w:p w14:paraId="33D083EE" w14:textId="79758E1C" w:rsidR="009812DE" w:rsidRPr="00EA389A" w:rsidRDefault="009812DE" w:rsidP="000E2940">
      <w:pPr>
        <w:spacing w:after="0" w:line="240" w:lineRule="auto"/>
        <w:jc w:val="both"/>
        <w:rPr>
          <w:rFonts w:ascii="Verdana" w:hAnsi="Verdana"/>
          <w:lang w:val="es-ES_tradnl"/>
        </w:rPr>
      </w:pPr>
      <w:r w:rsidRPr="00EA389A">
        <w:rPr>
          <w:rFonts w:ascii="Verdana" w:hAnsi="Verdana"/>
          <w:lang w:val="es-ES_tradnl"/>
        </w:rPr>
        <w:t xml:space="preserve">Si la entidad púbica requiere modificar la información reportada a la CGN, podrá enviar nuevamente la categoría de información ajustada </w:t>
      </w:r>
      <w:r w:rsidR="000F5A67" w:rsidRPr="00EA389A">
        <w:rPr>
          <w:rFonts w:ascii="Verdana" w:hAnsi="Verdana"/>
          <w:lang w:val="es-ES_tradnl"/>
        </w:rPr>
        <w:t>a</w:t>
      </w:r>
      <w:r w:rsidRPr="00EA389A">
        <w:rPr>
          <w:rFonts w:ascii="Verdana" w:hAnsi="Verdana"/>
          <w:lang w:val="es-ES_tradnl"/>
        </w:rPr>
        <w:t>ntes del cierre del sistema CHIP, debiendo justificar dicha situación. Una vez cerrado el sistema de forma definitiva, no se hará apertura</w:t>
      </w:r>
      <w:r w:rsidR="00CF766A" w:rsidRPr="00EA389A">
        <w:rPr>
          <w:rFonts w:ascii="Verdana" w:hAnsi="Verdana"/>
          <w:lang w:val="es-ES_tradnl"/>
        </w:rPr>
        <w:t xml:space="preserve"> para corrección, transmisión ni</w:t>
      </w:r>
      <w:r w:rsidRPr="00EA389A">
        <w:rPr>
          <w:rFonts w:ascii="Verdana" w:hAnsi="Verdana"/>
          <w:lang w:val="es-ES_tradnl"/>
        </w:rPr>
        <w:t xml:space="preserve"> retransmisión de la información, salvo lo contemplado en el artículo 12° de la presente resolución.</w:t>
      </w:r>
    </w:p>
    <w:p w14:paraId="1DDD84DA" w14:textId="77777777" w:rsidR="009812DE" w:rsidRPr="00EA389A" w:rsidRDefault="009812DE" w:rsidP="000E2940">
      <w:pPr>
        <w:spacing w:after="0" w:line="240" w:lineRule="auto"/>
        <w:jc w:val="both"/>
        <w:rPr>
          <w:rFonts w:ascii="Verdana" w:hAnsi="Verdana"/>
          <w:lang w:val="es-ES_tradnl"/>
        </w:rPr>
      </w:pPr>
    </w:p>
    <w:p w14:paraId="563E676D" w14:textId="193AFED9" w:rsidR="009812DE" w:rsidRPr="00EA389A" w:rsidRDefault="009812DE" w:rsidP="000E2940">
      <w:pPr>
        <w:spacing w:after="0" w:line="240" w:lineRule="auto"/>
        <w:jc w:val="both"/>
        <w:rPr>
          <w:rFonts w:ascii="Verdana" w:hAnsi="Verdana"/>
          <w:lang w:val="es-ES_tradnl"/>
        </w:rPr>
      </w:pPr>
      <w:r w:rsidRPr="00EA389A">
        <w:rPr>
          <w:rFonts w:ascii="Verdana" w:hAnsi="Verdana"/>
          <w:b/>
          <w:bCs/>
        </w:rPr>
        <w:t xml:space="preserve">ARTÍCULO 14°. </w:t>
      </w:r>
      <w:r w:rsidRPr="00EA389A">
        <w:rPr>
          <w:rFonts w:ascii="Verdana" w:hAnsi="Verdana"/>
          <w:b/>
          <w:bCs/>
          <w:lang w:val="es-ES_tradnl"/>
        </w:rPr>
        <w:t>REPORTE EXTEMPOR</w:t>
      </w:r>
      <w:r w:rsidR="003B4D6F" w:rsidRPr="00EA389A">
        <w:rPr>
          <w:rFonts w:ascii="Verdana" w:hAnsi="Verdana"/>
          <w:b/>
          <w:bCs/>
          <w:lang w:val="es-ES_tradnl"/>
        </w:rPr>
        <w:t>Á</w:t>
      </w:r>
      <w:r w:rsidRPr="00EA389A">
        <w:rPr>
          <w:rFonts w:ascii="Verdana" w:hAnsi="Verdana"/>
          <w:b/>
          <w:bCs/>
          <w:lang w:val="es-ES_tradnl"/>
        </w:rPr>
        <w:t>NEO.</w:t>
      </w:r>
      <w:r w:rsidRPr="00EA389A">
        <w:rPr>
          <w:rFonts w:ascii="Verdana" w:hAnsi="Verdana"/>
          <w:lang w:val="es-ES_tradnl"/>
        </w:rPr>
        <w:t xml:space="preserve"> Se considera extemporáneo el primer reporte con estado “aceptado” en el sistema CHIP, cuando este sea posterior a los plazos establecidos en el artículo 11° de la presente resolución o aquellos plazos otorgados por la CGN en la resolución de prórroga.</w:t>
      </w:r>
    </w:p>
    <w:p w14:paraId="6C5105A2" w14:textId="77777777" w:rsidR="009812DE" w:rsidRPr="00EA389A" w:rsidRDefault="009812DE" w:rsidP="000E2940">
      <w:pPr>
        <w:spacing w:after="0" w:line="240" w:lineRule="auto"/>
        <w:jc w:val="both"/>
        <w:rPr>
          <w:rFonts w:ascii="Verdana" w:hAnsi="Verdana"/>
          <w:lang w:val="es-ES_tradnl"/>
        </w:rPr>
      </w:pPr>
    </w:p>
    <w:p w14:paraId="7B52011F" w14:textId="03384FC1" w:rsidR="009812DE" w:rsidRPr="00EA389A" w:rsidRDefault="009812DE" w:rsidP="000E2940">
      <w:pPr>
        <w:spacing w:after="0" w:line="240" w:lineRule="auto"/>
        <w:jc w:val="both"/>
        <w:rPr>
          <w:rFonts w:ascii="Verdana" w:hAnsi="Verdana"/>
        </w:rPr>
      </w:pPr>
      <w:r w:rsidRPr="00EA389A">
        <w:rPr>
          <w:rFonts w:ascii="Verdana" w:hAnsi="Verdana"/>
          <w:b/>
          <w:bCs/>
        </w:rPr>
        <w:t xml:space="preserve">ARTÍCULO 15°. REPORTE INDIVIDUAL. </w:t>
      </w:r>
      <w:r w:rsidRPr="00EA389A">
        <w:rPr>
          <w:rFonts w:ascii="Verdana" w:hAnsi="Verdana"/>
        </w:rPr>
        <w:t xml:space="preserve">Las entidades públicas que hacen parte del ámbito de aplicación de la presente </w:t>
      </w:r>
      <w:r w:rsidR="0068669B">
        <w:rPr>
          <w:rFonts w:ascii="Verdana" w:hAnsi="Verdana"/>
        </w:rPr>
        <w:t>r</w:t>
      </w:r>
      <w:r w:rsidRPr="00EA389A">
        <w:rPr>
          <w:rFonts w:ascii="Verdana" w:hAnsi="Verdana"/>
        </w:rPr>
        <w:t xml:space="preserve">esolución y que consolidan </w:t>
      </w:r>
      <w:r w:rsidRPr="00EA389A">
        <w:rPr>
          <w:rFonts w:ascii="Verdana" w:hAnsi="Verdana"/>
        </w:rPr>
        <w:lastRenderedPageBreak/>
        <w:t>información como grupo económico, reportaran la información contable de manera individual por cada entidad bajo el respectivo código institucional asignado.</w:t>
      </w:r>
    </w:p>
    <w:p w14:paraId="14020A69" w14:textId="77777777" w:rsidR="009812DE" w:rsidRPr="00EA389A" w:rsidRDefault="009812DE" w:rsidP="000E2940">
      <w:pPr>
        <w:spacing w:after="0" w:line="240" w:lineRule="auto"/>
        <w:jc w:val="both"/>
        <w:rPr>
          <w:rFonts w:ascii="Verdana" w:hAnsi="Verdana"/>
        </w:rPr>
      </w:pPr>
    </w:p>
    <w:p w14:paraId="2D561345" w14:textId="55A27E42" w:rsidR="009812DE" w:rsidRPr="00EA389A" w:rsidRDefault="009812DE" w:rsidP="000E2940">
      <w:pPr>
        <w:spacing w:after="0" w:line="240" w:lineRule="auto"/>
        <w:jc w:val="both"/>
        <w:rPr>
          <w:rFonts w:ascii="Verdana" w:hAnsi="Verdana"/>
        </w:rPr>
      </w:pPr>
      <w:r w:rsidRPr="00EA389A">
        <w:rPr>
          <w:rFonts w:ascii="Verdana" w:hAnsi="Verdana"/>
        </w:rPr>
        <w:t>Las entidades públicas y organismos sin personería jurídica que son agregadas por otras entidades públicas para el reporte a la CGN atenderán los lineamientos de sus agregadoras acorde con lo señalado en el P</w:t>
      </w:r>
      <w:r w:rsidR="00CF766A" w:rsidRPr="00EA389A">
        <w:rPr>
          <w:rFonts w:ascii="Verdana" w:hAnsi="Verdana"/>
        </w:rPr>
        <w:t>arágrafo</w:t>
      </w:r>
      <w:r w:rsidRPr="00EA389A">
        <w:rPr>
          <w:rFonts w:ascii="Verdana" w:hAnsi="Verdana"/>
        </w:rPr>
        <w:t xml:space="preserve"> 1 del artículo 11° de la presente </w:t>
      </w:r>
      <w:r w:rsidR="0068669B">
        <w:rPr>
          <w:rFonts w:ascii="Verdana" w:hAnsi="Verdana"/>
        </w:rPr>
        <w:t>r</w:t>
      </w:r>
      <w:r w:rsidRPr="00EA389A">
        <w:rPr>
          <w:rFonts w:ascii="Verdana" w:hAnsi="Verdana"/>
        </w:rPr>
        <w:t>esolución.</w:t>
      </w:r>
    </w:p>
    <w:p w14:paraId="5A2E0F96" w14:textId="77777777" w:rsidR="009812DE" w:rsidRPr="00EA389A" w:rsidRDefault="009812DE" w:rsidP="000E2940">
      <w:pPr>
        <w:spacing w:after="0" w:line="240" w:lineRule="auto"/>
        <w:jc w:val="both"/>
        <w:rPr>
          <w:rFonts w:ascii="Verdana" w:hAnsi="Verdana"/>
        </w:rPr>
      </w:pPr>
    </w:p>
    <w:p w14:paraId="3418DF4F" w14:textId="1E8512D6" w:rsidR="009812DE" w:rsidRPr="00EA389A" w:rsidRDefault="009812DE" w:rsidP="000E2940">
      <w:pPr>
        <w:spacing w:after="0" w:line="240" w:lineRule="auto"/>
        <w:jc w:val="both"/>
        <w:rPr>
          <w:rFonts w:ascii="Verdana" w:hAnsi="Verdana"/>
        </w:rPr>
      </w:pPr>
      <w:r w:rsidRPr="00EA389A">
        <w:rPr>
          <w:rFonts w:ascii="Verdana" w:hAnsi="Verdana"/>
          <w:b/>
          <w:bCs/>
        </w:rPr>
        <w:t>ARTÍCULO 16°. PRESUNCIÓN DE LA INFORMACI</w:t>
      </w:r>
      <w:r w:rsidR="003B4D6F" w:rsidRPr="00EA389A">
        <w:rPr>
          <w:rFonts w:ascii="Verdana" w:hAnsi="Verdana"/>
          <w:b/>
          <w:bCs/>
        </w:rPr>
        <w:t>Ó</w:t>
      </w:r>
      <w:r w:rsidRPr="00EA389A">
        <w:rPr>
          <w:rFonts w:ascii="Verdana" w:hAnsi="Verdana"/>
          <w:b/>
          <w:bCs/>
        </w:rPr>
        <w:t xml:space="preserve">N REPORTADA. </w:t>
      </w:r>
      <w:r w:rsidRPr="00EA389A">
        <w:rPr>
          <w:rFonts w:ascii="Verdana" w:hAnsi="Verdana"/>
        </w:rPr>
        <w:t xml:space="preserve">Se presume que la información contable reportada a través del sistema CHIP corresponde a las cifras y datos tomados fielmente de los soportes y libros de contabilidad, que la misma se preparó conforme a la regulación establecida en el RCP y revela de forma fidedigna la situación financiera y los resultados del periodo. Es responsabilidad de la entidad pública la administración de los usuarios y la seguridad de la clave para el reporte a través del sistema CHIP. Así mismo, el </w:t>
      </w:r>
      <w:r w:rsidR="00967935">
        <w:rPr>
          <w:rFonts w:ascii="Verdana" w:hAnsi="Verdana"/>
        </w:rPr>
        <w:t>r</w:t>
      </w:r>
      <w:r w:rsidRPr="00EA389A">
        <w:rPr>
          <w:rFonts w:ascii="Verdana" w:hAnsi="Verdana"/>
        </w:rPr>
        <w:t xml:space="preserve">epresentante </w:t>
      </w:r>
      <w:r w:rsidR="00967935">
        <w:rPr>
          <w:rFonts w:ascii="Verdana" w:hAnsi="Verdana"/>
        </w:rPr>
        <w:t>l</w:t>
      </w:r>
      <w:r w:rsidRPr="00EA389A">
        <w:rPr>
          <w:rFonts w:ascii="Verdana" w:hAnsi="Verdana"/>
        </w:rPr>
        <w:t xml:space="preserve">egal y el </w:t>
      </w:r>
      <w:r w:rsidR="00967935">
        <w:rPr>
          <w:rFonts w:ascii="Verdana" w:hAnsi="Verdana"/>
        </w:rPr>
        <w:t>c</w:t>
      </w:r>
      <w:r w:rsidRPr="00EA389A">
        <w:rPr>
          <w:rFonts w:ascii="Verdana" w:hAnsi="Verdana"/>
        </w:rPr>
        <w:t xml:space="preserve">ontador </w:t>
      </w:r>
      <w:r w:rsidR="00967935">
        <w:rPr>
          <w:rFonts w:ascii="Verdana" w:hAnsi="Verdana"/>
        </w:rPr>
        <w:t>p</w:t>
      </w:r>
      <w:r w:rsidRPr="00EA389A">
        <w:rPr>
          <w:rFonts w:ascii="Verdana" w:hAnsi="Verdana"/>
        </w:rPr>
        <w:t>úblico que tengan a su cargo la contabilidad de la entidad, deben garantizar la actualización permanente de los datos básicos registrados en el sistema CHIP.</w:t>
      </w:r>
    </w:p>
    <w:p w14:paraId="5B488CC1" w14:textId="77777777" w:rsidR="009812DE" w:rsidRPr="00EA389A" w:rsidRDefault="009812DE" w:rsidP="000E2940">
      <w:pPr>
        <w:spacing w:after="0" w:line="240" w:lineRule="auto"/>
        <w:jc w:val="both"/>
        <w:rPr>
          <w:rFonts w:ascii="Verdana" w:hAnsi="Verdana"/>
        </w:rPr>
      </w:pPr>
    </w:p>
    <w:p w14:paraId="094CC120" w14:textId="2974982C" w:rsidR="009812DE" w:rsidRPr="00EA389A" w:rsidRDefault="009812DE" w:rsidP="000E2940">
      <w:pPr>
        <w:tabs>
          <w:tab w:val="left" w:pos="0"/>
          <w:tab w:val="left" w:pos="8820"/>
        </w:tabs>
        <w:spacing w:after="0" w:line="240" w:lineRule="auto"/>
        <w:jc w:val="both"/>
        <w:rPr>
          <w:rFonts w:ascii="Verdana" w:eastAsia="Verdana" w:hAnsi="Verdana" w:cs="Verdana"/>
        </w:rPr>
      </w:pPr>
      <w:r w:rsidRPr="00EA389A">
        <w:rPr>
          <w:rFonts w:ascii="Verdana" w:hAnsi="Verdana"/>
          <w:b/>
          <w:bCs/>
        </w:rPr>
        <w:t xml:space="preserve">ARTÍCULO 17°. </w:t>
      </w:r>
      <w:r w:rsidRPr="00EA389A">
        <w:rPr>
          <w:rFonts w:ascii="Verdana" w:hAnsi="Verdana"/>
          <w:b/>
          <w:bCs/>
          <w:lang w:val="es-ES_tradnl"/>
        </w:rPr>
        <w:t>VIGENCIA Y DEROGATORIAS.</w:t>
      </w:r>
      <w:r w:rsidRPr="00EA389A">
        <w:rPr>
          <w:rFonts w:ascii="Verdana" w:hAnsi="Verdana"/>
          <w:lang w:val="es-ES_tradnl"/>
        </w:rPr>
        <w:t xml:space="preserve"> La presente resolución rige a partir de la fecha de su publicación en el Diario Oficial, de conformidad con el artículo 119 de la Ley 489 de 1998, </w:t>
      </w:r>
      <w:r w:rsidRPr="00EA389A">
        <w:rPr>
          <w:rFonts w:ascii="Verdana" w:hAnsi="Verdana" w:cstheme="minorHAnsi"/>
          <w:lang w:val="es-ES_tradnl"/>
        </w:rPr>
        <w:t xml:space="preserve">y deroga las Resoluciones </w:t>
      </w:r>
      <w:r w:rsidRPr="00EA389A">
        <w:rPr>
          <w:rFonts w:ascii="Verdana" w:eastAsia="Verdana" w:hAnsi="Verdana" w:cs="Verdana"/>
        </w:rPr>
        <w:t>No. 411 de 2023 y 038 de 2024.</w:t>
      </w:r>
    </w:p>
    <w:p w14:paraId="6099A983" w14:textId="77777777" w:rsidR="009812DE" w:rsidRPr="00EA389A" w:rsidRDefault="009812DE" w:rsidP="000E2940">
      <w:pPr>
        <w:spacing w:after="0" w:line="240" w:lineRule="auto"/>
        <w:jc w:val="both"/>
        <w:rPr>
          <w:rFonts w:ascii="Verdana" w:hAnsi="Verdana"/>
        </w:rPr>
      </w:pPr>
    </w:p>
    <w:p w14:paraId="7E33C44A" w14:textId="77777777" w:rsidR="005375F6" w:rsidRPr="00EA389A" w:rsidRDefault="005375F6" w:rsidP="000E2940">
      <w:pPr>
        <w:spacing w:after="0" w:line="240" w:lineRule="auto"/>
        <w:jc w:val="center"/>
        <w:rPr>
          <w:rFonts w:ascii="Verdana" w:hAnsi="Verdana"/>
          <w:b/>
          <w:bCs/>
        </w:rPr>
      </w:pPr>
    </w:p>
    <w:p w14:paraId="2B5159B8" w14:textId="2A0ADFAD" w:rsidR="009812DE" w:rsidRPr="00EA389A" w:rsidRDefault="009812DE" w:rsidP="000E2940">
      <w:pPr>
        <w:spacing w:after="0" w:line="240" w:lineRule="auto"/>
        <w:jc w:val="center"/>
        <w:rPr>
          <w:rFonts w:ascii="Verdana" w:hAnsi="Verdana"/>
          <w:b/>
          <w:bCs/>
        </w:rPr>
      </w:pPr>
      <w:r w:rsidRPr="00EA389A">
        <w:rPr>
          <w:rFonts w:ascii="Verdana" w:hAnsi="Verdana"/>
          <w:b/>
          <w:bCs/>
        </w:rPr>
        <w:t>PUBLÍQUESE, COMUNÍQUESE Y CÚMPLASE</w:t>
      </w:r>
    </w:p>
    <w:p w14:paraId="6AEBAC67" w14:textId="77777777" w:rsidR="009812DE" w:rsidRPr="00EA389A" w:rsidRDefault="009812DE" w:rsidP="000E2940">
      <w:pPr>
        <w:spacing w:after="0" w:line="240" w:lineRule="auto"/>
        <w:jc w:val="center"/>
        <w:rPr>
          <w:rFonts w:ascii="Verdana" w:hAnsi="Verdana"/>
          <w:b/>
          <w:bCs/>
        </w:rPr>
      </w:pPr>
    </w:p>
    <w:p w14:paraId="6E41E3FA" w14:textId="77777777" w:rsidR="009812DE" w:rsidRPr="00EA389A" w:rsidRDefault="009812DE" w:rsidP="000E2940">
      <w:pPr>
        <w:spacing w:after="0" w:line="240" w:lineRule="auto"/>
        <w:jc w:val="center"/>
        <w:rPr>
          <w:rFonts w:ascii="Verdana" w:hAnsi="Verdana"/>
          <w:b/>
          <w:bCs/>
        </w:rPr>
      </w:pPr>
    </w:p>
    <w:p w14:paraId="70D3D1B2" w14:textId="77777777" w:rsidR="009812DE" w:rsidRPr="00EA389A" w:rsidRDefault="009812DE" w:rsidP="000E2940">
      <w:pPr>
        <w:spacing w:after="0" w:line="240" w:lineRule="auto"/>
        <w:jc w:val="both"/>
        <w:rPr>
          <w:rFonts w:ascii="Verdana" w:hAnsi="Verdana"/>
        </w:rPr>
      </w:pPr>
      <w:r w:rsidRPr="00EA389A">
        <w:rPr>
          <w:rFonts w:ascii="Verdana" w:hAnsi="Verdana"/>
        </w:rPr>
        <w:t xml:space="preserve">Dada en Bogotá, D.C., </w:t>
      </w:r>
    </w:p>
    <w:p w14:paraId="09209ED1" w14:textId="77777777" w:rsidR="009812DE" w:rsidRPr="00EA389A" w:rsidRDefault="009812DE" w:rsidP="000E2940">
      <w:pPr>
        <w:spacing w:after="0" w:line="240" w:lineRule="auto"/>
        <w:jc w:val="both"/>
        <w:rPr>
          <w:rFonts w:ascii="Verdana" w:hAnsi="Verdana"/>
        </w:rPr>
      </w:pPr>
    </w:p>
    <w:p w14:paraId="437962DC" w14:textId="77777777" w:rsidR="009812DE" w:rsidRPr="00EA389A" w:rsidRDefault="009812DE" w:rsidP="000E2940">
      <w:pPr>
        <w:spacing w:after="0" w:line="240" w:lineRule="auto"/>
        <w:jc w:val="center"/>
        <w:rPr>
          <w:rFonts w:ascii="Verdana" w:hAnsi="Verdana"/>
          <w:b/>
          <w:bCs/>
        </w:rPr>
      </w:pPr>
    </w:p>
    <w:p w14:paraId="22D26ED6" w14:textId="77777777" w:rsidR="009812DE" w:rsidRPr="00EA389A" w:rsidRDefault="009812DE" w:rsidP="000E2940">
      <w:pPr>
        <w:spacing w:after="0" w:line="240" w:lineRule="auto"/>
        <w:jc w:val="center"/>
        <w:rPr>
          <w:rFonts w:ascii="Verdana" w:hAnsi="Verdana"/>
          <w:b/>
          <w:bCs/>
        </w:rPr>
      </w:pPr>
    </w:p>
    <w:p w14:paraId="7DF2C435" w14:textId="77777777" w:rsidR="009812DE" w:rsidRPr="00EA389A" w:rsidRDefault="009812DE" w:rsidP="000E2940">
      <w:pPr>
        <w:spacing w:after="0" w:line="240" w:lineRule="auto"/>
        <w:jc w:val="center"/>
        <w:rPr>
          <w:rFonts w:ascii="Verdana" w:hAnsi="Verdana"/>
          <w:b/>
          <w:bCs/>
        </w:rPr>
      </w:pPr>
    </w:p>
    <w:p w14:paraId="655E157F" w14:textId="77777777" w:rsidR="009812DE" w:rsidRPr="00EA389A" w:rsidRDefault="009812DE" w:rsidP="000E2940">
      <w:pPr>
        <w:spacing w:after="0" w:line="240" w:lineRule="auto"/>
        <w:jc w:val="center"/>
        <w:rPr>
          <w:rFonts w:ascii="Verdana" w:hAnsi="Verdana"/>
          <w:b/>
          <w:bCs/>
        </w:rPr>
      </w:pPr>
    </w:p>
    <w:p w14:paraId="656B86DF" w14:textId="77777777" w:rsidR="009812DE" w:rsidRPr="00EA389A" w:rsidRDefault="009812DE" w:rsidP="000E2940">
      <w:pPr>
        <w:spacing w:after="0" w:line="240" w:lineRule="auto"/>
        <w:jc w:val="center"/>
        <w:rPr>
          <w:rFonts w:ascii="Verdana" w:hAnsi="Verdana"/>
          <w:b/>
          <w:bCs/>
        </w:rPr>
      </w:pPr>
    </w:p>
    <w:p w14:paraId="6921FBC4" w14:textId="77777777" w:rsidR="009812DE" w:rsidRPr="00EA389A" w:rsidRDefault="009812DE" w:rsidP="000E2940">
      <w:pPr>
        <w:spacing w:after="0" w:line="240" w:lineRule="auto"/>
        <w:jc w:val="center"/>
        <w:rPr>
          <w:rFonts w:ascii="Verdana" w:hAnsi="Verdana"/>
          <w:b/>
          <w:bCs/>
        </w:rPr>
      </w:pPr>
      <w:r w:rsidRPr="00EA389A">
        <w:rPr>
          <w:rFonts w:ascii="Verdana" w:hAnsi="Verdana"/>
          <w:b/>
          <w:bCs/>
        </w:rPr>
        <w:t>MAURICIO GÓMEZ VILLEGAS</w:t>
      </w:r>
    </w:p>
    <w:p w14:paraId="57C4777A" w14:textId="77777777" w:rsidR="009812DE" w:rsidRPr="00EA389A" w:rsidRDefault="009812DE" w:rsidP="000E2940">
      <w:pPr>
        <w:spacing w:after="0" w:line="240" w:lineRule="auto"/>
        <w:jc w:val="center"/>
        <w:rPr>
          <w:rFonts w:ascii="Verdana" w:hAnsi="Verdana"/>
          <w:b/>
          <w:bCs/>
          <w:sz w:val="20"/>
          <w:szCs w:val="20"/>
        </w:rPr>
      </w:pPr>
      <w:r w:rsidRPr="00EA389A">
        <w:rPr>
          <w:rFonts w:ascii="Verdana" w:hAnsi="Verdana"/>
          <w:b/>
          <w:bCs/>
        </w:rPr>
        <w:t>Contador General de la Nación</w:t>
      </w:r>
    </w:p>
    <w:p w14:paraId="53B891FC" w14:textId="77777777" w:rsidR="009812DE" w:rsidRPr="00EA389A" w:rsidRDefault="009812DE" w:rsidP="000E2940">
      <w:pPr>
        <w:spacing w:after="0" w:line="240" w:lineRule="auto"/>
        <w:jc w:val="both"/>
        <w:rPr>
          <w:rFonts w:ascii="Verdana" w:hAnsi="Verdana"/>
          <w:b/>
          <w:bCs/>
        </w:rPr>
      </w:pPr>
    </w:p>
    <w:p w14:paraId="6AC56595" w14:textId="77777777" w:rsidR="009812DE" w:rsidRPr="00EA389A" w:rsidRDefault="009812DE" w:rsidP="000E2940">
      <w:pPr>
        <w:spacing w:after="0" w:line="240" w:lineRule="auto"/>
        <w:jc w:val="both"/>
        <w:rPr>
          <w:rFonts w:ascii="Verdana" w:hAnsi="Verdana"/>
          <w:b/>
          <w:bCs/>
        </w:rPr>
      </w:pPr>
    </w:p>
    <w:p w14:paraId="31D6FAB1" w14:textId="2078122B" w:rsidR="009812DE" w:rsidRPr="00EA389A" w:rsidRDefault="009812DE" w:rsidP="000E2940">
      <w:pPr>
        <w:spacing w:after="0" w:line="240" w:lineRule="auto"/>
        <w:ind w:left="851" w:hanging="851"/>
        <w:jc w:val="both"/>
        <w:rPr>
          <w:rFonts w:ascii="Verdana" w:hAnsi="Verdana"/>
          <w:sz w:val="16"/>
          <w:szCs w:val="16"/>
        </w:rPr>
      </w:pPr>
      <w:r w:rsidRPr="00EA389A">
        <w:rPr>
          <w:rFonts w:ascii="Verdana" w:hAnsi="Verdana"/>
          <w:sz w:val="16"/>
          <w:szCs w:val="16"/>
        </w:rPr>
        <w:t>Proyectó:</w:t>
      </w:r>
      <w:r w:rsidR="000E2940" w:rsidRPr="00EA389A">
        <w:rPr>
          <w:rFonts w:ascii="Verdana" w:hAnsi="Verdana"/>
          <w:sz w:val="16"/>
          <w:szCs w:val="16"/>
        </w:rPr>
        <w:tab/>
      </w:r>
      <w:r w:rsidRPr="00EA389A">
        <w:rPr>
          <w:rFonts w:ascii="Verdana" w:hAnsi="Verdana"/>
          <w:sz w:val="16"/>
          <w:szCs w:val="16"/>
        </w:rPr>
        <w:t xml:space="preserve">Amanda Santiago / </w:t>
      </w:r>
      <w:r w:rsidR="000E2940" w:rsidRPr="00EA389A">
        <w:rPr>
          <w:rFonts w:ascii="Verdana" w:hAnsi="Verdana"/>
          <w:sz w:val="16"/>
          <w:szCs w:val="16"/>
        </w:rPr>
        <w:t xml:space="preserve">Jackson Stewar Ackine Leguizamo / </w:t>
      </w:r>
      <w:r w:rsidRPr="00EA389A">
        <w:rPr>
          <w:rFonts w:ascii="Verdana" w:hAnsi="Verdana"/>
          <w:sz w:val="16"/>
          <w:szCs w:val="16"/>
        </w:rPr>
        <w:t>Mayerly Raquel Torres Cort</w:t>
      </w:r>
      <w:r w:rsidR="00F256B6">
        <w:rPr>
          <w:rFonts w:ascii="Verdana" w:hAnsi="Verdana"/>
          <w:sz w:val="16"/>
          <w:szCs w:val="16"/>
        </w:rPr>
        <w:t>é</w:t>
      </w:r>
      <w:r w:rsidRPr="00EA389A">
        <w:rPr>
          <w:rFonts w:ascii="Verdana" w:hAnsi="Verdana"/>
          <w:sz w:val="16"/>
          <w:szCs w:val="16"/>
        </w:rPr>
        <w:t xml:space="preserve">s / Omar Eduardo Mancipe / Julián Andrés Noguera </w:t>
      </w:r>
      <w:proofErr w:type="spellStart"/>
      <w:r w:rsidRPr="00EA389A">
        <w:rPr>
          <w:rFonts w:ascii="Verdana" w:hAnsi="Verdana"/>
          <w:sz w:val="16"/>
          <w:szCs w:val="16"/>
        </w:rPr>
        <w:t>Oyaga</w:t>
      </w:r>
      <w:proofErr w:type="spellEnd"/>
      <w:r w:rsidRPr="00EA389A">
        <w:rPr>
          <w:rFonts w:ascii="Verdana" w:hAnsi="Verdana"/>
          <w:sz w:val="16"/>
          <w:szCs w:val="16"/>
        </w:rPr>
        <w:t xml:space="preserve"> / Blanca Ofelia Martínez </w:t>
      </w:r>
      <w:proofErr w:type="spellStart"/>
      <w:r w:rsidRPr="00EA389A">
        <w:rPr>
          <w:rFonts w:ascii="Verdana" w:hAnsi="Verdana"/>
          <w:sz w:val="16"/>
          <w:szCs w:val="16"/>
        </w:rPr>
        <w:t>Martínez</w:t>
      </w:r>
      <w:proofErr w:type="spellEnd"/>
      <w:r w:rsidRPr="00EA389A">
        <w:rPr>
          <w:rFonts w:ascii="Verdana" w:hAnsi="Verdana"/>
          <w:sz w:val="16"/>
          <w:szCs w:val="16"/>
        </w:rPr>
        <w:t xml:space="preserve"> / Pedro Flaminio Marín Diaz</w:t>
      </w:r>
      <w:r w:rsidR="006F48B2">
        <w:rPr>
          <w:rFonts w:ascii="Verdana" w:hAnsi="Verdana"/>
          <w:sz w:val="16"/>
          <w:szCs w:val="16"/>
        </w:rPr>
        <w:t xml:space="preserve"> / Luz Alexandra León Lozano</w:t>
      </w:r>
    </w:p>
    <w:p w14:paraId="6FB196A2" w14:textId="707D5D63" w:rsidR="009068CD" w:rsidRPr="000E2940" w:rsidRDefault="009812DE" w:rsidP="000E2940">
      <w:pPr>
        <w:spacing w:after="0" w:line="240" w:lineRule="auto"/>
        <w:ind w:left="851" w:hanging="851"/>
        <w:jc w:val="both"/>
        <w:rPr>
          <w:rFonts w:ascii="Verdana" w:hAnsi="Verdana"/>
          <w:sz w:val="16"/>
          <w:szCs w:val="16"/>
        </w:rPr>
      </w:pPr>
      <w:r w:rsidRPr="00EA389A">
        <w:rPr>
          <w:rFonts w:ascii="Verdana" w:hAnsi="Verdana"/>
          <w:sz w:val="16"/>
          <w:szCs w:val="16"/>
        </w:rPr>
        <w:t xml:space="preserve">Revisó: </w:t>
      </w:r>
      <w:r w:rsidR="000E2940" w:rsidRPr="00EA389A">
        <w:rPr>
          <w:rFonts w:ascii="Verdana" w:hAnsi="Verdana"/>
          <w:sz w:val="16"/>
          <w:szCs w:val="16"/>
        </w:rPr>
        <w:tab/>
      </w:r>
      <w:r w:rsidRPr="00EA389A">
        <w:rPr>
          <w:rFonts w:ascii="Verdana" w:hAnsi="Verdana"/>
          <w:sz w:val="16"/>
          <w:szCs w:val="16"/>
        </w:rPr>
        <w:t>Elizabeth Soler Castillo / Juan Camilo Santamaria Herrera / Roció Pérez Sotelo / Carlos Andrés Rodríguez</w:t>
      </w:r>
    </w:p>
    <w:sectPr w:rsidR="009068CD" w:rsidRPr="000E2940" w:rsidSect="008E3099">
      <w:headerReference w:type="default" r:id="rId8"/>
      <w:footerReference w:type="default" r:id="rId9"/>
      <w:headerReference w:type="first" r:id="rId10"/>
      <w:footerReference w:type="first" r:id="rId11"/>
      <w:pgSz w:w="12240" w:h="20160" w:code="5"/>
      <w:pgMar w:top="2381" w:right="1701" w:bottom="2835" w:left="1701" w:header="709"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84073" w14:textId="77777777" w:rsidR="006C4DDF" w:rsidRDefault="006C4DDF" w:rsidP="009068CD">
      <w:pPr>
        <w:spacing w:after="0" w:line="240" w:lineRule="auto"/>
      </w:pPr>
      <w:r>
        <w:separator/>
      </w:r>
    </w:p>
  </w:endnote>
  <w:endnote w:type="continuationSeparator" w:id="0">
    <w:p w14:paraId="0C8836E5" w14:textId="77777777" w:rsidR="006C4DDF" w:rsidRDefault="006C4DDF" w:rsidP="009068CD">
      <w:pPr>
        <w:spacing w:after="0" w:line="240" w:lineRule="auto"/>
      </w:pPr>
      <w:r>
        <w:continuationSeparator/>
      </w:r>
    </w:p>
  </w:endnote>
  <w:endnote w:type="continuationNotice" w:id="1">
    <w:p w14:paraId="292FCE70" w14:textId="77777777" w:rsidR="006C4DDF" w:rsidRDefault="006C4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301636"/>
      <w:docPartObj>
        <w:docPartGallery w:val="Page Numbers (Bottom of Page)"/>
        <w:docPartUnique/>
      </w:docPartObj>
    </w:sdtPr>
    <w:sdtContent>
      <w:sdt>
        <w:sdtPr>
          <w:id w:val="-1769616900"/>
          <w:docPartObj>
            <w:docPartGallery w:val="Page Numbers (Top of Page)"/>
            <w:docPartUnique/>
          </w:docPartObj>
        </w:sdtPr>
        <w:sdtContent>
          <w:p w14:paraId="30423B6C" w14:textId="4C50B8D5" w:rsidR="00DD3C5F" w:rsidRDefault="00DD3C5F">
            <w:pPr>
              <w:pStyle w:val="Piedepgina"/>
              <w:jc w:val="right"/>
            </w:pPr>
            <w:r w:rsidRPr="00E023AD">
              <w:rPr>
                <w:rFonts w:ascii="Verdana" w:hAnsi="Verdana"/>
                <w:sz w:val="18"/>
                <w:szCs w:val="18"/>
                <w:lang w:val="es-ES"/>
              </w:rPr>
              <w:t xml:space="preserve">Página </w:t>
            </w:r>
            <w:r w:rsidRPr="00E023AD">
              <w:rPr>
                <w:rFonts w:ascii="Verdana" w:hAnsi="Verdana"/>
                <w:b/>
                <w:bCs/>
                <w:sz w:val="18"/>
                <w:szCs w:val="18"/>
              </w:rPr>
              <w:fldChar w:fldCharType="begin"/>
            </w:r>
            <w:r w:rsidRPr="00E023AD">
              <w:rPr>
                <w:rFonts w:ascii="Verdana" w:hAnsi="Verdana"/>
                <w:b/>
                <w:bCs/>
                <w:sz w:val="18"/>
                <w:szCs w:val="18"/>
              </w:rPr>
              <w:instrText>PAGE</w:instrText>
            </w:r>
            <w:r w:rsidRPr="00E023AD">
              <w:rPr>
                <w:rFonts w:ascii="Verdana" w:hAnsi="Verdana"/>
                <w:b/>
                <w:bCs/>
                <w:sz w:val="18"/>
                <w:szCs w:val="18"/>
              </w:rPr>
              <w:fldChar w:fldCharType="separate"/>
            </w:r>
            <w:r w:rsidR="005122EF">
              <w:rPr>
                <w:rFonts w:ascii="Verdana" w:hAnsi="Verdana"/>
                <w:b/>
                <w:bCs/>
                <w:noProof/>
                <w:sz w:val="18"/>
                <w:szCs w:val="18"/>
              </w:rPr>
              <w:t>4</w:t>
            </w:r>
            <w:r w:rsidRPr="00E023AD">
              <w:rPr>
                <w:rFonts w:ascii="Verdana" w:hAnsi="Verdana"/>
                <w:b/>
                <w:bCs/>
                <w:sz w:val="18"/>
                <w:szCs w:val="18"/>
              </w:rPr>
              <w:fldChar w:fldCharType="end"/>
            </w:r>
            <w:r w:rsidRPr="00E023AD">
              <w:rPr>
                <w:rFonts w:ascii="Verdana" w:hAnsi="Verdana"/>
                <w:sz w:val="18"/>
                <w:szCs w:val="18"/>
                <w:lang w:val="es-ES"/>
              </w:rPr>
              <w:t xml:space="preserve"> de </w:t>
            </w:r>
            <w:r w:rsidRPr="00E023AD">
              <w:rPr>
                <w:rFonts w:ascii="Verdana" w:hAnsi="Verdana"/>
                <w:b/>
                <w:bCs/>
                <w:sz w:val="18"/>
                <w:szCs w:val="18"/>
              </w:rPr>
              <w:fldChar w:fldCharType="begin"/>
            </w:r>
            <w:r w:rsidRPr="00E023AD">
              <w:rPr>
                <w:rFonts w:ascii="Verdana" w:hAnsi="Verdana"/>
                <w:b/>
                <w:bCs/>
                <w:sz w:val="18"/>
                <w:szCs w:val="18"/>
              </w:rPr>
              <w:instrText>NUMPAGES</w:instrText>
            </w:r>
            <w:r w:rsidRPr="00E023AD">
              <w:rPr>
                <w:rFonts w:ascii="Verdana" w:hAnsi="Verdana"/>
                <w:b/>
                <w:bCs/>
                <w:sz w:val="18"/>
                <w:szCs w:val="18"/>
              </w:rPr>
              <w:fldChar w:fldCharType="separate"/>
            </w:r>
            <w:r w:rsidR="005122EF">
              <w:rPr>
                <w:rFonts w:ascii="Verdana" w:hAnsi="Verdana"/>
                <w:b/>
                <w:bCs/>
                <w:noProof/>
                <w:sz w:val="18"/>
                <w:szCs w:val="18"/>
              </w:rPr>
              <w:t>8</w:t>
            </w:r>
            <w:r w:rsidRPr="00E023AD">
              <w:rPr>
                <w:rFonts w:ascii="Verdana" w:hAnsi="Verdana"/>
                <w:b/>
                <w:bCs/>
                <w:sz w:val="18"/>
                <w:szCs w:val="18"/>
              </w:rPr>
              <w:fldChar w:fldCharType="end"/>
            </w:r>
          </w:p>
        </w:sdtContent>
      </w:sdt>
    </w:sdtContent>
  </w:sdt>
  <w:p w14:paraId="77EE74D9" w14:textId="1D2B749C" w:rsidR="00DD3C5F" w:rsidRDefault="00DD3C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685E" w14:textId="753F2600" w:rsidR="00F839A5" w:rsidRPr="00E023AD" w:rsidRDefault="00000000" w:rsidP="00F839A5">
    <w:pPr>
      <w:pStyle w:val="Piedepgina"/>
      <w:jc w:val="right"/>
      <w:rPr>
        <w:rFonts w:ascii="Verdana" w:hAnsi="Verdana"/>
        <w:sz w:val="18"/>
        <w:szCs w:val="18"/>
      </w:rPr>
    </w:pPr>
    <w:sdt>
      <w:sdtPr>
        <w:rPr>
          <w:rFonts w:ascii="Verdana" w:hAnsi="Verdana"/>
          <w:sz w:val="18"/>
          <w:szCs w:val="18"/>
        </w:rPr>
        <w:id w:val="1123342898"/>
        <w:docPartObj>
          <w:docPartGallery w:val="Page Numbers (Top of Page)"/>
          <w:docPartUnique/>
        </w:docPartObj>
      </w:sdtPr>
      <w:sdtContent>
        <w:r w:rsidR="00F839A5" w:rsidRPr="00E023AD">
          <w:rPr>
            <w:rFonts w:ascii="Verdana" w:hAnsi="Verdana"/>
            <w:sz w:val="18"/>
            <w:szCs w:val="18"/>
            <w:lang w:val="es-ES"/>
          </w:rPr>
          <w:t xml:space="preserve">Página </w:t>
        </w:r>
        <w:r w:rsidR="00F839A5" w:rsidRPr="00E023AD">
          <w:rPr>
            <w:rFonts w:ascii="Verdana" w:hAnsi="Verdana"/>
            <w:b/>
            <w:bCs/>
            <w:sz w:val="18"/>
            <w:szCs w:val="18"/>
          </w:rPr>
          <w:fldChar w:fldCharType="begin"/>
        </w:r>
        <w:r w:rsidR="00F839A5" w:rsidRPr="00E023AD">
          <w:rPr>
            <w:rFonts w:ascii="Verdana" w:hAnsi="Verdana"/>
            <w:b/>
            <w:bCs/>
            <w:sz w:val="18"/>
            <w:szCs w:val="18"/>
          </w:rPr>
          <w:instrText>PAGE</w:instrText>
        </w:r>
        <w:r w:rsidR="00F839A5" w:rsidRPr="00E023AD">
          <w:rPr>
            <w:rFonts w:ascii="Verdana" w:hAnsi="Verdana"/>
            <w:b/>
            <w:bCs/>
            <w:sz w:val="18"/>
            <w:szCs w:val="18"/>
          </w:rPr>
          <w:fldChar w:fldCharType="separate"/>
        </w:r>
        <w:r w:rsidR="005122EF">
          <w:rPr>
            <w:rFonts w:ascii="Verdana" w:hAnsi="Verdana"/>
            <w:b/>
            <w:bCs/>
            <w:noProof/>
            <w:sz w:val="18"/>
            <w:szCs w:val="18"/>
          </w:rPr>
          <w:t>1</w:t>
        </w:r>
        <w:r w:rsidR="00F839A5" w:rsidRPr="00E023AD">
          <w:rPr>
            <w:rFonts w:ascii="Verdana" w:hAnsi="Verdana"/>
            <w:b/>
            <w:bCs/>
            <w:sz w:val="18"/>
            <w:szCs w:val="18"/>
          </w:rPr>
          <w:fldChar w:fldCharType="end"/>
        </w:r>
        <w:r w:rsidR="00F839A5" w:rsidRPr="00E023AD">
          <w:rPr>
            <w:rFonts w:ascii="Verdana" w:hAnsi="Verdana"/>
            <w:sz w:val="18"/>
            <w:szCs w:val="18"/>
            <w:lang w:val="es-ES"/>
          </w:rPr>
          <w:t xml:space="preserve"> de </w:t>
        </w:r>
        <w:r w:rsidR="00F839A5" w:rsidRPr="00E023AD">
          <w:rPr>
            <w:rFonts w:ascii="Verdana" w:hAnsi="Verdana"/>
            <w:b/>
            <w:bCs/>
            <w:sz w:val="18"/>
            <w:szCs w:val="18"/>
          </w:rPr>
          <w:fldChar w:fldCharType="begin"/>
        </w:r>
        <w:r w:rsidR="00F839A5" w:rsidRPr="00E023AD">
          <w:rPr>
            <w:rFonts w:ascii="Verdana" w:hAnsi="Verdana"/>
            <w:b/>
            <w:bCs/>
            <w:sz w:val="18"/>
            <w:szCs w:val="18"/>
          </w:rPr>
          <w:instrText>NUMPAGES</w:instrText>
        </w:r>
        <w:r w:rsidR="00F839A5" w:rsidRPr="00E023AD">
          <w:rPr>
            <w:rFonts w:ascii="Verdana" w:hAnsi="Verdana"/>
            <w:b/>
            <w:bCs/>
            <w:sz w:val="18"/>
            <w:szCs w:val="18"/>
          </w:rPr>
          <w:fldChar w:fldCharType="separate"/>
        </w:r>
        <w:r w:rsidR="005122EF">
          <w:rPr>
            <w:rFonts w:ascii="Verdana" w:hAnsi="Verdana"/>
            <w:b/>
            <w:bCs/>
            <w:noProof/>
            <w:sz w:val="18"/>
            <w:szCs w:val="18"/>
          </w:rPr>
          <w:t>8</w:t>
        </w:r>
        <w:r w:rsidR="00F839A5" w:rsidRPr="00E023AD">
          <w:rPr>
            <w:rFonts w:ascii="Verdana" w:hAnsi="Verdana"/>
            <w:b/>
            <w:bCs/>
            <w:sz w:val="18"/>
            <w:szCs w:val="18"/>
          </w:rPr>
          <w:fldChar w:fldCharType="end"/>
        </w:r>
      </w:sdtContent>
    </w:sdt>
  </w:p>
  <w:p w14:paraId="502ECC52" w14:textId="340F9903" w:rsidR="00F839A5" w:rsidRDefault="00F839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0BAFB" w14:textId="77777777" w:rsidR="006C4DDF" w:rsidRDefault="006C4DDF" w:rsidP="009068CD">
      <w:pPr>
        <w:spacing w:after="0" w:line="240" w:lineRule="auto"/>
      </w:pPr>
      <w:r>
        <w:separator/>
      </w:r>
    </w:p>
  </w:footnote>
  <w:footnote w:type="continuationSeparator" w:id="0">
    <w:p w14:paraId="35EBE500" w14:textId="77777777" w:rsidR="006C4DDF" w:rsidRDefault="006C4DDF" w:rsidP="009068CD">
      <w:pPr>
        <w:spacing w:after="0" w:line="240" w:lineRule="auto"/>
      </w:pPr>
      <w:r>
        <w:continuationSeparator/>
      </w:r>
    </w:p>
  </w:footnote>
  <w:footnote w:type="continuationNotice" w:id="1">
    <w:p w14:paraId="2EEE5BF2" w14:textId="77777777" w:rsidR="006C4DDF" w:rsidRDefault="006C4D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A30C" w14:textId="3EA22B14" w:rsidR="009068CD" w:rsidRDefault="008E3099">
    <w:pPr>
      <w:pStyle w:val="Encabezado"/>
    </w:pPr>
    <w:r>
      <w:rPr>
        <w:noProof/>
        <w:lang w:eastAsia="es-CO"/>
      </w:rPr>
      <mc:AlternateContent>
        <mc:Choice Requires="wps">
          <w:drawing>
            <wp:anchor distT="45720" distB="45720" distL="114300" distR="114300" simplePos="0" relativeHeight="251663360" behindDoc="0" locked="0" layoutInCell="1" allowOverlap="1" wp14:anchorId="14AB014B" wp14:editId="7177FF29">
              <wp:simplePos x="0" y="0"/>
              <wp:positionH relativeFrom="margin">
                <wp:posOffset>815975</wp:posOffset>
              </wp:positionH>
              <wp:positionV relativeFrom="paragraph">
                <wp:posOffset>492760</wp:posOffset>
              </wp:positionV>
              <wp:extent cx="3980180" cy="5048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180" cy="504825"/>
                      </a:xfrm>
                      <a:prstGeom prst="rect">
                        <a:avLst/>
                      </a:prstGeom>
                      <a:noFill/>
                      <a:ln w="9525">
                        <a:noFill/>
                        <a:miter lim="800000"/>
                        <a:headEnd/>
                        <a:tailEnd/>
                      </a:ln>
                    </wps:spPr>
                    <wps:txbx>
                      <w:txbxContent>
                        <w:p w14:paraId="519907ED" w14:textId="77777777" w:rsidR="006B6DF3" w:rsidRDefault="004819A8" w:rsidP="006B6DF3">
                          <w:pPr>
                            <w:spacing w:after="0" w:line="240" w:lineRule="auto"/>
                            <w:jc w:val="center"/>
                            <w:rPr>
                              <w:rFonts w:ascii="Verdana" w:hAnsi="Verdana"/>
                              <w:i/>
                              <w:iCs/>
                              <w:sz w:val="14"/>
                              <w:szCs w:val="14"/>
                            </w:rPr>
                          </w:pPr>
                          <w:r w:rsidRPr="004819A8">
                            <w:rPr>
                              <w:rFonts w:ascii="Verdana" w:hAnsi="Verdana"/>
                              <w:i/>
                              <w:iCs/>
                              <w:sz w:val="14"/>
                              <w:szCs w:val="14"/>
                              <w:highlight w:val="yellow"/>
                            </w:rPr>
                            <w:t>Resolución No. XXXXX del XX de XXXX de 20</w:t>
                          </w:r>
                          <w:r w:rsidR="00D04E17">
                            <w:rPr>
                              <w:rFonts w:ascii="Verdana" w:hAnsi="Verdana"/>
                              <w:i/>
                              <w:iCs/>
                              <w:sz w:val="14"/>
                              <w:szCs w:val="14"/>
                              <w:highlight w:val="yellow"/>
                            </w:rPr>
                            <w:t>XX</w:t>
                          </w:r>
                          <w:r w:rsidRPr="004819A8">
                            <w:rPr>
                              <w:rFonts w:ascii="Verdana" w:hAnsi="Verdana"/>
                              <w:i/>
                              <w:iCs/>
                              <w:sz w:val="14"/>
                              <w:szCs w:val="14"/>
                              <w:highlight w:val="yellow"/>
                            </w:rPr>
                            <w:t xml:space="preserve"> </w:t>
                          </w:r>
                        </w:p>
                        <w:p w14:paraId="221FCA34" w14:textId="0390A836" w:rsidR="004819A8" w:rsidRPr="004819A8" w:rsidRDefault="006B6DF3" w:rsidP="00A80A8F">
                          <w:pPr>
                            <w:spacing w:after="0" w:line="240" w:lineRule="auto"/>
                            <w:jc w:val="center"/>
                            <w:rPr>
                              <w:sz w:val="14"/>
                              <w:szCs w:val="14"/>
                              <w:lang w:val="es-ES"/>
                            </w:rPr>
                          </w:pPr>
                          <w:r w:rsidRPr="006B6DF3">
                            <w:rPr>
                              <w:rFonts w:ascii="Verdana" w:hAnsi="Verdana"/>
                              <w:i/>
                              <w:iCs/>
                              <w:sz w:val="14"/>
                              <w:szCs w:val="14"/>
                            </w:rPr>
                            <w:t xml:space="preserve">Por la cual se establece la </w:t>
                          </w:r>
                          <w:r w:rsidR="00FD3A59">
                            <w:rPr>
                              <w:rFonts w:ascii="Verdana" w:hAnsi="Verdana"/>
                              <w:i/>
                              <w:iCs/>
                              <w:sz w:val="14"/>
                              <w:szCs w:val="14"/>
                            </w:rPr>
                            <w:t>i</w:t>
                          </w:r>
                          <w:r w:rsidRPr="006B6DF3">
                            <w:rPr>
                              <w:rFonts w:ascii="Verdana" w:hAnsi="Verdana"/>
                              <w:i/>
                              <w:iCs/>
                              <w:sz w:val="14"/>
                              <w:szCs w:val="14"/>
                            </w:rPr>
                            <w:t>nformación a reportar, los requisitos, plazos y características de envío a la Contaduría General de la Nación y se derogan las Resoluciones No. 411 de 2023 y 038 de 2024</w:t>
                          </w:r>
                        </w:p>
                        <w:p w14:paraId="389CE1CA" w14:textId="77777777" w:rsidR="004819A8" w:rsidRPr="004819A8" w:rsidRDefault="004819A8" w:rsidP="004819A8">
                          <w:pPr>
                            <w:jc w:val="right"/>
                            <w:rPr>
                              <w:sz w:val="14"/>
                              <w:szCs w:val="14"/>
                              <w:lang w:val="es-ES"/>
                            </w:rPr>
                          </w:pPr>
                        </w:p>
                        <w:p w14:paraId="758EE55C" w14:textId="77777777" w:rsidR="004819A8" w:rsidRPr="004819A8" w:rsidRDefault="004819A8" w:rsidP="004819A8">
                          <w:pPr>
                            <w:jc w:val="right"/>
                            <w:rPr>
                              <w:sz w:val="14"/>
                              <w:szCs w:val="1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B014B" id="_x0000_t202" coordsize="21600,21600" o:spt="202" path="m,l,21600r21600,l21600,xe">
              <v:stroke joinstyle="miter"/>
              <v:path gradientshapeok="t" o:connecttype="rect"/>
            </v:shapetype>
            <v:shape id="Cuadro de texto 2" o:spid="_x0000_s1026" type="#_x0000_t202" style="position:absolute;margin-left:64.25pt;margin-top:38.8pt;width:313.4pt;height:39.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" filled="f" stroked="f">
              <v:textbox>
                <w:txbxContent>
                  <w:p w14:paraId="519907ED" w14:textId="77777777" w:rsidR="006B6DF3" w:rsidRDefault="004819A8" w:rsidP="006B6DF3">
                    <w:pPr>
                      <w:spacing w:after="0" w:line="240" w:lineRule="auto"/>
                      <w:jc w:val="center"/>
                      <w:rPr>
                        <w:rFonts w:ascii="Verdana" w:hAnsi="Verdana"/>
                        <w:i/>
                        <w:iCs/>
                        <w:sz w:val="14"/>
                        <w:szCs w:val="14"/>
                      </w:rPr>
                    </w:pPr>
                    <w:r w:rsidRPr="004819A8">
                      <w:rPr>
                        <w:rFonts w:ascii="Verdana" w:hAnsi="Verdana"/>
                        <w:i/>
                        <w:iCs/>
                        <w:sz w:val="14"/>
                        <w:szCs w:val="14"/>
                        <w:highlight w:val="yellow"/>
                      </w:rPr>
                      <w:t>Resolución No. XXXXX del XX de XXXX de 20</w:t>
                    </w:r>
                    <w:r w:rsidR="00D04E17">
                      <w:rPr>
                        <w:rFonts w:ascii="Verdana" w:hAnsi="Verdana"/>
                        <w:i/>
                        <w:iCs/>
                        <w:sz w:val="14"/>
                        <w:szCs w:val="14"/>
                        <w:highlight w:val="yellow"/>
                      </w:rPr>
                      <w:t>XX</w:t>
                    </w:r>
                    <w:r w:rsidRPr="004819A8">
                      <w:rPr>
                        <w:rFonts w:ascii="Verdana" w:hAnsi="Verdana"/>
                        <w:i/>
                        <w:iCs/>
                        <w:sz w:val="14"/>
                        <w:szCs w:val="14"/>
                        <w:highlight w:val="yellow"/>
                      </w:rPr>
                      <w:t xml:space="preserve"> </w:t>
                    </w:r>
                  </w:p>
                  <w:p w14:paraId="221FCA34" w14:textId="0390A836" w:rsidR="004819A8" w:rsidRPr="004819A8" w:rsidRDefault="006B6DF3" w:rsidP="00A80A8F">
                    <w:pPr>
                      <w:spacing w:after="0" w:line="240" w:lineRule="auto"/>
                      <w:jc w:val="center"/>
                      <w:rPr>
                        <w:sz w:val="14"/>
                        <w:szCs w:val="14"/>
                        <w:lang w:val="es-ES"/>
                      </w:rPr>
                    </w:pPr>
                    <w:r w:rsidRPr="006B6DF3">
                      <w:rPr>
                        <w:rFonts w:ascii="Verdana" w:hAnsi="Verdana"/>
                        <w:i/>
                        <w:iCs/>
                        <w:sz w:val="14"/>
                        <w:szCs w:val="14"/>
                      </w:rPr>
                      <w:t xml:space="preserve">Por la cual se establece la </w:t>
                    </w:r>
                    <w:r w:rsidR="00FD3A59">
                      <w:rPr>
                        <w:rFonts w:ascii="Verdana" w:hAnsi="Verdana"/>
                        <w:i/>
                        <w:iCs/>
                        <w:sz w:val="14"/>
                        <w:szCs w:val="14"/>
                      </w:rPr>
                      <w:t>i</w:t>
                    </w:r>
                    <w:r w:rsidRPr="006B6DF3">
                      <w:rPr>
                        <w:rFonts w:ascii="Verdana" w:hAnsi="Verdana"/>
                        <w:i/>
                        <w:iCs/>
                        <w:sz w:val="14"/>
                        <w:szCs w:val="14"/>
                      </w:rPr>
                      <w:t>nformación a reportar, los requisitos, plazos y características de envío a la Contaduría General de la Nación y se derogan las Resoluciones No. 411 de 2023 y 038 de 2024</w:t>
                    </w:r>
                  </w:p>
                  <w:p w14:paraId="389CE1CA" w14:textId="77777777" w:rsidR="004819A8" w:rsidRPr="004819A8" w:rsidRDefault="004819A8" w:rsidP="004819A8">
                    <w:pPr>
                      <w:jc w:val="right"/>
                      <w:rPr>
                        <w:sz w:val="14"/>
                        <w:szCs w:val="14"/>
                        <w:lang w:val="es-ES"/>
                      </w:rPr>
                    </w:pPr>
                  </w:p>
                  <w:p w14:paraId="758EE55C" w14:textId="77777777" w:rsidR="004819A8" w:rsidRPr="004819A8" w:rsidRDefault="004819A8" w:rsidP="004819A8">
                    <w:pPr>
                      <w:jc w:val="right"/>
                      <w:rPr>
                        <w:sz w:val="14"/>
                        <w:szCs w:val="14"/>
                        <w:lang w:val="es-ES"/>
                      </w:rPr>
                    </w:pPr>
                  </w:p>
                </w:txbxContent>
              </v:textbox>
              <w10:wrap type="square" anchorx="margin"/>
            </v:shape>
          </w:pict>
        </mc:Fallback>
      </mc:AlternateContent>
    </w:r>
    <w:r w:rsidR="00802D92">
      <w:rPr>
        <w:noProof/>
        <w:lang w:eastAsia="es-CO"/>
      </w:rPr>
      <w:drawing>
        <wp:anchor distT="0" distB="0" distL="114300" distR="114300" simplePos="0" relativeHeight="251678720" behindDoc="1" locked="0" layoutInCell="1" allowOverlap="1" wp14:anchorId="726C9CDB" wp14:editId="71CFF6E5">
          <wp:simplePos x="0" y="0"/>
          <wp:positionH relativeFrom="page">
            <wp:posOffset>0</wp:posOffset>
          </wp:positionH>
          <wp:positionV relativeFrom="paragraph">
            <wp:posOffset>-438785</wp:posOffset>
          </wp:positionV>
          <wp:extent cx="7753350" cy="12790170"/>
          <wp:effectExtent l="0" t="0" r="0" b="0"/>
          <wp:wrapNone/>
          <wp:docPr id="2832854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278591" name="Imagen 1216278591"/>
                  <pic:cNvPicPr/>
                </pic:nvPicPr>
                <pic:blipFill>
                  <a:blip r:embed="rId1">
                    <a:extLst>
                      <a:ext uri="{28A0092B-C50C-407E-A947-70E740481C1C}">
                        <a14:useLocalDpi xmlns:a14="http://schemas.microsoft.com/office/drawing/2010/main" val="0"/>
                      </a:ext>
                    </a:extLst>
                  </a:blip>
                  <a:stretch>
                    <a:fillRect/>
                  </a:stretch>
                </pic:blipFill>
                <pic:spPr>
                  <a:xfrm>
                    <a:off x="0" y="0"/>
                    <a:ext cx="7753350" cy="127901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3162A" w14:textId="17A55FBF" w:rsidR="004819A8" w:rsidRDefault="00613683">
    <w:pPr>
      <w:pStyle w:val="Encabezado"/>
    </w:pPr>
    <w:r>
      <w:rPr>
        <w:noProof/>
        <w:lang w:eastAsia="es-CO"/>
      </w:rPr>
      <w:drawing>
        <wp:anchor distT="0" distB="0" distL="114300" distR="114300" simplePos="0" relativeHeight="251676672" behindDoc="1" locked="0" layoutInCell="1" allowOverlap="1" wp14:anchorId="3E56E513" wp14:editId="5C9454E6">
          <wp:simplePos x="0" y="0"/>
          <wp:positionH relativeFrom="page">
            <wp:align>left</wp:align>
          </wp:positionH>
          <wp:positionV relativeFrom="paragraph">
            <wp:posOffset>-449580</wp:posOffset>
          </wp:positionV>
          <wp:extent cx="7753350" cy="12790659"/>
          <wp:effectExtent l="0" t="0" r="0" b="0"/>
          <wp:wrapNone/>
          <wp:docPr id="13937737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278591" name="Imagen 1216278591"/>
                  <pic:cNvPicPr/>
                </pic:nvPicPr>
                <pic:blipFill>
                  <a:blip r:embed="rId1">
                    <a:extLst>
                      <a:ext uri="{28A0092B-C50C-407E-A947-70E740481C1C}">
                        <a14:useLocalDpi xmlns:a14="http://schemas.microsoft.com/office/drawing/2010/main" val="0"/>
                      </a:ext>
                    </a:extLst>
                  </a:blip>
                  <a:stretch>
                    <a:fillRect/>
                  </a:stretch>
                </pic:blipFill>
                <pic:spPr>
                  <a:xfrm>
                    <a:off x="0" y="0"/>
                    <a:ext cx="7762434" cy="128056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44C75"/>
    <w:multiLevelType w:val="hybridMultilevel"/>
    <w:tmpl w:val="F4F64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2303F3"/>
    <w:multiLevelType w:val="multilevel"/>
    <w:tmpl w:val="7660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53D2D"/>
    <w:multiLevelType w:val="multilevel"/>
    <w:tmpl w:val="746A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6046E"/>
    <w:multiLevelType w:val="hybridMultilevel"/>
    <w:tmpl w:val="87F68548"/>
    <w:lvl w:ilvl="0" w:tplc="83EC5D9C">
      <w:start w:val="1"/>
      <w:numFmt w:val="upperRoman"/>
      <w:lvlText w:val="%1."/>
      <w:lvlJc w:val="left"/>
      <w:pPr>
        <w:ind w:left="578" w:hanging="72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4" w15:restartNumberingAfterBreak="0">
    <w:nsid w:val="49AE661E"/>
    <w:multiLevelType w:val="multilevel"/>
    <w:tmpl w:val="9796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A5164"/>
    <w:multiLevelType w:val="hybridMultilevel"/>
    <w:tmpl w:val="0ED8E7DC"/>
    <w:lvl w:ilvl="0" w:tplc="8A9E6842">
      <w:numFmt w:val="bullet"/>
      <w:lvlText w:val="-"/>
      <w:lvlJc w:val="left"/>
      <w:pPr>
        <w:ind w:left="720" w:hanging="360"/>
      </w:pPr>
      <w:rPr>
        <w:rFonts w:ascii="Aptos Narrow" w:eastAsia="Times New Roman" w:hAnsi="Aptos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88D5A80"/>
    <w:multiLevelType w:val="hybridMultilevel"/>
    <w:tmpl w:val="48FC6984"/>
    <w:lvl w:ilvl="0" w:tplc="618834A0">
      <w:start w:val="1"/>
      <w:numFmt w:val="lowerLetter"/>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7" w15:restartNumberingAfterBreak="0">
    <w:nsid w:val="68722338"/>
    <w:multiLevelType w:val="hybridMultilevel"/>
    <w:tmpl w:val="5ED466D8"/>
    <w:lvl w:ilvl="0" w:tplc="73AE4F22">
      <w:numFmt w:val="bullet"/>
      <w:lvlText w:val="-"/>
      <w:lvlJc w:val="left"/>
      <w:pPr>
        <w:ind w:left="720" w:hanging="360"/>
      </w:pPr>
      <w:rPr>
        <w:rFonts w:ascii="Aptos Narrow" w:eastAsia="Times New Roman" w:hAnsi="Aptos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DB74BD0"/>
    <w:multiLevelType w:val="multilevel"/>
    <w:tmpl w:val="19DECF0E"/>
    <w:lvl w:ilvl="0">
      <w:start w:val="1"/>
      <w:numFmt w:val="none"/>
      <w:pStyle w:val="Ttulo"/>
      <w:lvlText w:val=""/>
      <w:lvlJc w:val="left"/>
      <w:pPr>
        <w:ind w:left="0" w:firstLine="0"/>
      </w:pPr>
      <w:rPr>
        <w:rFonts w:ascii="Calibri" w:hAnsi="Calibri" w:hint="default"/>
        <w:b/>
        <w:i w:val="0"/>
        <w:caps/>
        <w:strike w:val="0"/>
        <w:dstrike w:val="0"/>
        <w:vanish w:val="0"/>
        <w:sz w:val="22"/>
        <w:vertAlign w:val="baseline"/>
      </w:rPr>
    </w:lvl>
    <w:lvl w:ilvl="1">
      <w:start w:val="1"/>
      <w:numFmt w:val="decimal"/>
      <w:pStyle w:val="Ttulo1"/>
      <w:suff w:val="space"/>
      <w:lvlText w:val="%2%1."/>
      <w:lvlJc w:val="left"/>
      <w:pPr>
        <w:ind w:left="0" w:firstLine="0"/>
      </w:pPr>
      <w:rPr>
        <w:rFonts w:ascii="Calibri" w:hAnsi="Calibri" w:hint="default"/>
        <w:b/>
        <w:i w:val="0"/>
        <w:sz w:val="24"/>
        <w:szCs w:val="24"/>
      </w:rPr>
    </w:lvl>
    <w:lvl w:ilvl="2">
      <w:start w:val="1"/>
      <w:numFmt w:val="decimal"/>
      <w:pStyle w:val="Ttulo2"/>
      <w:suff w:val="space"/>
      <w:lvlText w:val="%2.%3."/>
      <w:lvlJc w:val="left"/>
      <w:pPr>
        <w:ind w:left="0" w:firstLine="0"/>
      </w:pPr>
      <w:rPr>
        <w:rFonts w:ascii="Calibri" w:hAnsi="Calibri" w:hint="default"/>
        <w:b/>
        <w:i w:val="0"/>
        <w:sz w:val="24"/>
        <w:szCs w:val="24"/>
      </w:rPr>
    </w:lvl>
    <w:lvl w:ilvl="3">
      <w:start w:val="1"/>
      <w:numFmt w:val="decimal"/>
      <w:pStyle w:val="Ttulo3"/>
      <w:suff w:val="space"/>
      <w:lvlText w:val="%2.%3.%4."/>
      <w:lvlJc w:val="left"/>
      <w:pPr>
        <w:ind w:left="1985" w:firstLine="0"/>
      </w:pPr>
      <w:rPr>
        <w:rFonts w:ascii="Calibri" w:hAnsi="Calibri" w:hint="default"/>
        <w:b w:val="0"/>
        <w:i/>
        <w:sz w:val="24"/>
        <w:szCs w:val="24"/>
      </w:rPr>
    </w:lvl>
    <w:lvl w:ilvl="4">
      <w:start w:val="1"/>
      <w:numFmt w:val="decimal"/>
      <w:pStyle w:val="Ttulo4"/>
      <w:lvlText w:val="%2.%3.%4.%5."/>
      <w:lvlJc w:val="left"/>
      <w:pPr>
        <w:ind w:left="0" w:firstLine="0"/>
      </w:pPr>
      <w:rPr>
        <w:rFonts w:ascii="Calibri" w:hAnsi="Calibri" w:hint="default"/>
        <w:b w:val="0"/>
        <w:i/>
        <w:sz w:val="22"/>
      </w:rPr>
    </w:lvl>
    <w:lvl w:ilvl="5">
      <w:start w:val="1"/>
      <w:numFmt w:val="decimal"/>
      <w:pStyle w:val="Ttulo5"/>
      <w:lvlText w:val="%2.%3.%4.%5.%6."/>
      <w:lvlJc w:val="left"/>
      <w:pPr>
        <w:ind w:left="0" w:firstLine="0"/>
      </w:pPr>
      <w:rPr>
        <w:rFonts w:ascii="Calibri" w:hAnsi="Calibri" w:hint="default"/>
        <w:b w:val="0"/>
        <w:i/>
        <w:sz w:val="22"/>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72B9726F"/>
    <w:multiLevelType w:val="hybridMultilevel"/>
    <w:tmpl w:val="C94E5D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D8F3A87"/>
    <w:multiLevelType w:val="multilevel"/>
    <w:tmpl w:val="134E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360002">
    <w:abstractNumId w:val="0"/>
  </w:num>
  <w:num w:numId="2" w16cid:durableId="532765912">
    <w:abstractNumId w:val="6"/>
  </w:num>
  <w:num w:numId="3" w16cid:durableId="1977102183">
    <w:abstractNumId w:val="8"/>
  </w:num>
  <w:num w:numId="4" w16cid:durableId="132600093">
    <w:abstractNumId w:val="3"/>
  </w:num>
  <w:num w:numId="5" w16cid:durableId="107748423">
    <w:abstractNumId w:val="1"/>
  </w:num>
  <w:num w:numId="6" w16cid:durableId="2012562880">
    <w:abstractNumId w:val="10"/>
  </w:num>
  <w:num w:numId="7" w16cid:durableId="697005037">
    <w:abstractNumId w:val="4"/>
  </w:num>
  <w:num w:numId="8" w16cid:durableId="525827617">
    <w:abstractNumId w:val="2"/>
  </w:num>
  <w:num w:numId="9" w16cid:durableId="1025866462">
    <w:abstractNumId w:val="9"/>
  </w:num>
  <w:num w:numId="10" w16cid:durableId="407505924">
    <w:abstractNumId w:val="7"/>
  </w:num>
  <w:num w:numId="11" w16cid:durableId="1804958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10816"/>
    <w:rsid w:val="000306BC"/>
    <w:rsid w:val="00037BE2"/>
    <w:rsid w:val="00040500"/>
    <w:rsid w:val="000443CD"/>
    <w:rsid w:val="000704AA"/>
    <w:rsid w:val="000773E0"/>
    <w:rsid w:val="000B224D"/>
    <w:rsid w:val="000C0249"/>
    <w:rsid w:val="000D408B"/>
    <w:rsid w:val="000D49EB"/>
    <w:rsid w:val="000E2940"/>
    <w:rsid w:val="000F5A67"/>
    <w:rsid w:val="001048F1"/>
    <w:rsid w:val="001062EB"/>
    <w:rsid w:val="00120781"/>
    <w:rsid w:val="00140954"/>
    <w:rsid w:val="00150684"/>
    <w:rsid w:val="001510EC"/>
    <w:rsid w:val="00156693"/>
    <w:rsid w:val="00161D80"/>
    <w:rsid w:val="001A424E"/>
    <w:rsid w:val="001B1413"/>
    <w:rsid w:val="001D2CB0"/>
    <w:rsid w:val="001D4895"/>
    <w:rsid w:val="001E68EE"/>
    <w:rsid w:val="00205933"/>
    <w:rsid w:val="00232DA7"/>
    <w:rsid w:val="00233385"/>
    <w:rsid w:val="00240042"/>
    <w:rsid w:val="00240B27"/>
    <w:rsid w:val="002562BE"/>
    <w:rsid w:val="00291575"/>
    <w:rsid w:val="002A694A"/>
    <w:rsid w:val="002C1037"/>
    <w:rsid w:val="002D70A2"/>
    <w:rsid w:val="002D73AF"/>
    <w:rsid w:val="002E395B"/>
    <w:rsid w:val="002E41BC"/>
    <w:rsid w:val="002F36C5"/>
    <w:rsid w:val="002F43F9"/>
    <w:rsid w:val="003004C4"/>
    <w:rsid w:val="00301D73"/>
    <w:rsid w:val="003113A2"/>
    <w:rsid w:val="0033102F"/>
    <w:rsid w:val="00342CF1"/>
    <w:rsid w:val="003537BC"/>
    <w:rsid w:val="003655B9"/>
    <w:rsid w:val="00371257"/>
    <w:rsid w:val="0038175A"/>
    <w:rsid w:val="00396CD3"/>
    <w:rsid w:val="003A5555"/>
    <w:rsid w:val="003B4D6F"/>
    <w:rsid w:val="003B5DC9"/>
    <w:rsid w:val="003C15F1"/>
    <w:rsid w:val="003C4448"/>
    <w:rsid w:val="003D692D"/>
    <w:rsid w:val="003F0F2D"/>
    <w:rsid w:val="00415308"/>
    <w:rsid w:val="004527E1"/>
    <w:rsid w:val="0046515D"/>
    <w:rsid w:val="0046706A"/>
    <w:rsid w:val="00471331"/>
    <w:rsid w:val="0047574E"/>
    <w:rsid w:val="004819A8"/>
    <w:rsid w:val="0048293C"/>
    <w:rsid w:val="004932B2"/>
    <w:rsid w:val="00496456"/>
    <w:rsid w:val="004C15EC"/>
    <w:rsid w:val="004C7804"/>
    <w:rsid w:val="004D3BE0"/>
    <w:rsid w:val="004D4074"/>
    <w:rsid w:val="004E0668"/>
    <w:rsid w:val="004F1EE5"/>
    <w:rsid w:val="00502125"/>
    <w:rsid w:val="005021CB"/>
    <w:rsid w:val="005108CD"/>
    <w:rsid w:val="005122EF"/>
    <w:rsid w:val="00527803"/>
    <w:rsid w:val="00530FDA"/>
    <w:rsid w:val="005375F6"/>
    <w:rsid w:val="005713D5"/>
    <w:rsid w:val="0058432D"/>
    <w:rsid w:val="00591260"/>
    <w:rsid w:val="00592A94"/>
    <w:rsid w:val="005A62EF"/>
    <w:rsid w:val="005B21FD"/>
    <w:rsid w:val="005E4638"/>
    <w:rsid w:val="005F0DD7"/>
    <w:rsid w:val="00607550"/>
    <w:rsid w:val="00613683"/>
    <w:rsid w:val="006139D9"/>
    <w:rsid w:val="00614F5D"/>
    <w:rsid w:val="0061651C"/>
    <w:rsid w:val="006166BF"/>
    <w:rsid w:val="0061700F"/>
    <w:rsid w:val="0062373C"/>
    <w:rsid w:val="00634E4C"/>
    <w:rsid w:val="00635469"/>
    <w:rsid w:val="006424AC"/>
    <w:rsid w:val="00663D54"/>
    <w:rsid w:val="006759FF"/>
    <w:rsid w:val="006768CB"/>
    <w:rsid w:val="006852F1"/>
    <w:rsid w:val="0068669B"/>
    <w:rsid w:val="006A6412"/>
    <w:rsid w:val="006B3C44"/>
    <w:rsid w:val="006B6DF3"/>
    <w:rsid w:val="006C4DDF"/>
    <w:rsid w:val="006F48B2"/>
    <w:rsid w:val="00704C2F"/>
    <w:rsid w:val="007152F0"/>
    <w:rsid w:val="00716C4C"/>
    <w:rsid w:val="00721EEC"/>
    <w:rsid w:val="00737E28"/>
    <w:rsid w:val="0075114F"/>
    <w:rsid w:val="00756D7A"/>
    <w:rsid w:val="007754E7"/>
    <w:rsid w:val="00777EB3"/>
    <w:rsid w:val="0078690A"/>
    <w:rsid w:val="00796D87"/>
    <w:rsid w:val="007A6D09"/>
    <w:rsid w:val="007B057F"/>
    <w:rsid w:val="007B2295"/>
    <w:rsid w:val="007C0C31"/>
    <w:rsid w:val="007C5AED"/>
    <w:rsid w:val="007C7499"/>
    <w:rsid w:val="007D51BB"/>
    <w:rsid w:val="00802D92"/>
    <w:rsid w:val="008118D4"/>
    <w:rsid w:val="0083425C"/>
    <w:rsid w:val="00875023"/>
    <w:rsid w:val="00887CAB"/>
    <w:rsid w:val="008954FA"/>
    <w:rsid w:val="008C5F67"/>
    <w:rsid w:val="008C6660"/>
    <w:rsid w:val="008D386F"/>
    <w:rsid w:val="008D77BE"/>
    <w:rsid w:val="008E3099"/>
    <w:rsid w:val="008F2741"/>
    <w:rsid w:val="008F3905"/>
    <w:rsid w:val="008F6081"/>
    <w:rsid w:val="008F7E16"/>
    <w:rsid w:val="009068CD"/>
    <w:rsid w:val="009100CC"/>
    <w:rsid w:val="009144A5"/>
    <w:rsid w:val="0091623D"/>
    <w:rsid w:val="00925816"/>
    <w:rsid w:val="0094460B"/>
    <w:rsid w:val="009611BB"/>
    <w:rsid w:val="009621F1"/>
    <w:rsid w:val="00966A44"/>
    <w:rsid w:val="00967935"/>
    <w:rsid w:val="009711E1"/>
    <w:rsid w:val="00974F52"/>
    <w:rsid w:val="009812DE"/>
    <w:rsid w:val="0098251E"/>
    <w:rsid w:val="00986F3D"/>
    <w:rsid w:val="009943A9"/>
    <w:rsid w:val="00994B56"/>
    <w:rsid w:val="00995577"/>
    <w:rsid w:val="009D0066"/>
    <w:rsid w:val="009D411F"/>
    <w:rsid w:val="009E011F"/>
    <w:rsid w:val="009F70A8"/>
    <w:rsid w:val="00A040B5"/>
    <w:rsid w:val="00A31EB9"/>
    <w:rsid w:val="00A35463"/>
    <w:rsid w:val="00A51A05"/>
    <w:rsid w:val="00A64DDA"/>
    <w:rsid w:val="00A65776"/>
    <w:rsid w:val="00A7526D"/>
    <w:rsid w:val="00A80A8F"/>
    <w:rsid w:val="00A84180"/>
    <w:rsid w:val="00A85BD7"/>
    <w:rsid w:val="00A916B2"/>
    <w:rsid w:val="00AA128F"/>
    <w:rsid w:val="00AA4C9E"/>
    <w:rsid w:val="00AA5B6F"/>
    <w:rsid w:val="00AA6C68"/>
    <w:rsid w:val="00AF2ED2"/>
    <w:rsid w:val="00AF5B08"/>
    <w:rsid w:val="00B00DA5"/>
    <w:rsid w:val="00B03F32"/>
    <w:rsid w:val="00B06EE1"/>
    <w:rsid w:val="00B356C1"/>
    <w:rsid w:val="00B53047"/>
    <w:rsid w:val="00B607C8"/>
    <w:rsid w:val="00B70BF0"/>
    <w:rsid w:val="00B93114"/>
    <w:rsid w:val="00BA5BBF"/>
    <w:rsid w:val="00BB3274"/>
    <w:rsid w:val="00BC4B6E"/>
    <w:rsid w:val="00BD0893"/>
    <w:rsid w:val="00C33B88"/>
    <w:rsid w:val="00C436FE"/>
    <w:rsid w:val="00C84B0D"/>
    <w:rsid w:val="00CA0749"/>
    <w:rsid w:val="00CA0D4E"/>
    <w:rsid w:val="00CC1B61"/>
    <w:rsid w:val="00CD1DCD"/>
    <w:rsid w:val="00CD7BB5"/>
    <w:rsid w:val="00CE5145"/>
    <w:rsid w:val="00CF2DEE"/>
    <w:rsid w:val="00CF766A"/>
    <w:rsid w:val="00D04E17"/>
    <w:rsid w:val="00D31A3A"/>
    <w:rsid w:val="00D412D0"/>
    <w:rsid w:val="00D76B9A"/>
    <w:rsid w:val="00D82648"/>
    <w:rsid w:val="00DA463B"/>
    <w:rsid w:val="00DA47F9"/>
    <w:rsid w:val="00DB6E01"/>
    <w:rsid w:val="00DD03E4"/>
    <w:rsid w:val="00DD3C5F"/>
    <w:rsid w:val="00DD590D"/>
    <w:rsid w:val="00DE4C9B"/>
    <w:rsid w:val="00DE78AD"/>
    <w:rsid w:val="00DF0E7F"/>
    <w:rsid w:val="00E01FAF"/>
    <w:rsid w:val="00E023AD"/>
    <w:rsid w:val="00E15287"/>
    <w:rsid w:val="00E32836"/>
    <w:rsid w:val="00E75DAE"/>
    <w:rsid w:val="00E854E1"/>
    <w:rsid w:val="00EA389A"/>
    <w:rsid w:val="00EA78A2"/>
    <w:rsid w:val="00EE3F39"/>
    <w:rsid w:val="00EE5E23"/>
    <w:rsid w:val="00EF1F70"/>
    <w:rsid w:val="00EF5F05"/>
    <w:rsid w:val="00F00965"/>
    <w:rsid w:val="00F035B3"/>
    <w:rsid w:val="00F0659B"/>
    <w:rsid w:val="00F06A39"/>
    <w:rsid w:val="00F1713D"/>
    <w:rsid w:val="00F256B6"/>
    <w:rsid w:val="00F33A16"/>
    <w:rsid w:val="00F540C1"/>
    <w:rsid w:val="00F75D07"/>
    <w:rsid w:val="00F839A5"/>
    <w:rsid w:val="00F922E2"/>
    <w:rsid w:val="00FB18AB"/>
    <w:rsid w:val="00FB4A80"/>
    <w:rsid w:val="00FD3A59"/>
    <w:rsid w:val="00FE34B2"/>
    <w:rsid w:val="00FF6D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1862A"/>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
    <w:qFormat/>
    <w:rsid w:val="009812DE"/>
    <w:pPr>
      <w:keepNext/>
      <w:keepLines/>
      <w:numPr>
        <w:ilvl w:val="1"/>
        <w:numId w:val="3"/>
      </w:numPr>
      <w:spacing w:after="0" w:line="240" w:lineRule="auto"/>
      <w:outlineLvl w:val="0"/>
    </w:pPr>
    <w:rPr>
      <w:rFonts w:ascii="Calibri" w:eastAsia="Times New Roman" w:hAnsi="Calibri" w:cs="Times New Roman"/>
      <w:b/>
      <w:bCs/>
      <w:caps/>
      <w:kern w:val="0"/>
      <w:sz w:val="24"/>
      <w:szCs w:val="28"/>
      <w:lang w:eastAsia="es-CO"/>
      <w14:ligatures w14:val="none"/>
    </w:rPr>
  </w:style>
  <w:style w:type="paragraph" w:styleId="Ttulo2">
    <w:name w:val="heading 2"/>
    <w:basedOn w:val="Normal"/>
    <w:next w:val="Normal"/>
    <w:link w:val="Ttulo2Car"/>
    <w:uiPriority w:val="9"/>
    <w:qFormat/>
    <w:rsid w:val="009812DE"/>
    <w:pPr>
      <w:keepNext/>
      <w:keepLines/>
      <w:numPr>
        <w:ilvl w:val="2"/>
        <w:numId w:val="3"/>
      </w:numPr>
      <w:spacing w:after="0" w:line="240" w:lineRule="auto"/>
      <w:outlineLvl w:val="1"/>
    </w:pPr>
    <w:rPr>
      <w:rFonts w:ascii="Calibri" w:eastAsia="Times New Roman" w:hAnsi="Calibri" w:cs="Times New Roman"/>
      <w:b/>
      <w:bCs/>
      <w:kern w:val="0"/>
      <w:sz w:val="24"/>
      <w:szCs w:val="26"/>
      <w:lang w:eastAsia="es-CO"/>
      <w14:ligatures w14:val="none"/>
    </w:rPr>
  </w:style>
  <w:style w:type="paragraph" w:styleId="Ttulo3">
    <w:name w:val="heading 3"/>
    <w:basedOn w:val="Normal"/>
    <w:next w:val="Normal"/>
    <w:link w:val="Ttulo3Car"/>
    <w:qFormat/>
    <w:rsid w:val="009812DE"/>
    <w:pPr>
      <w:keepNext/>
      <w:keepLines/>
      <w:numPr>
        <w:ilvl w:val="3"/>
        <w:numId w:val="3"/>
      </w:numPr>
      <w:spacing w:after="0" w:line="240" w:lineRule="auto"/>
      <w:ind w:left="0"/>
      <w:jc w:val="both"/>
      <w:outlineLvl w:val="2"/>
    </w:pPr>
    <w:rPr>
      <w:rFonts w:ascii="Calibri" w:eastAsia="Times New Roman" w:hAnsi="Calibri" w:cs="Times New Roman"/>
      <w:bCs/>
      <w:i/>
      <w:kern w:val="0"/>
      <w:sz w:val="24"/>
      <w:szCs w:val="20"/>
      <w:lang w:eastAsia="es-CO"/>
      <w14:ligatures w14:val="none"/>
    </w:rPr>
  </w:style>
  <w:style w:type="paragraph" w:styleId="Ttulo4">
    <w:name w:val="heading 4"/>
    <w:basedOn w:val="Normal"/>
    <w:next w:val="Normal"/>
    <w:link w:val="Ttulo4Car"/>
    <w:qFormat/>
    <w:rsid w:val="009812DE"/>
    <w:pPr>
      <w:keepNext/>
      <w:keepLines/>
      <w:numPr>
        <w:ilvl w:val="4"/>
        <w:numId w:val="3"/>
      </w:numPr>
      <w:spacing w:after="0" w:line="240" w:lineRule="auto"/>
      <w:outlineLvl w:val="3"/>
    </w:pPr>
    <w:rPr>
      <w:rFonts w:ascii="Calibri" w:eastAsia="Times New Roman" w:hAnsi="Calibri" w:cs="Times New Roman"/>
      <w:bCs/>
      <w:i/>
      <w:iCs/>
      <w:kern w:val="0"/>
      <w:sz w:val="24"/>
      <w:szCs w:val="20"/>
      <w:lang w:eastAsia="es-CO"/>
      <w14:ligatures w14:val="none"/>
    </w:rPr>
  </w:style>
  <w:style w:type="paragraph" w:styleId="Ttulo5">
    <w:name w:val="heading 5"/>
    <w:basedOn w:val="Normal"/>
    <w:next w:val="Normal"/>
    <w:link w:val="Ttulo5Car"/>
    <w:qFormat/>
    <w:rsid w:val="009812DE"/>
    <w:pPr>
      <w:keepNext/>
      <w:keepLines/>
      <w:numPr>
        <w:ilvl w:val="5"/>
        <w:numId w:val="3"/>
      </w:numPr>
      <w:spacing w:after="0" w:line="240" w:lineRule="auto"/>
      <w:outlineLvl w:val="4"/>
    </w:pPr>
    <w:rPr>
      <w:rFonts w:ascii="Calibri" w:eastAsia="Times New Roman" w:hAnsi="Calibri" w:cs="Times New Roman"/>
      <w:i/>
      <w:kern w:val="0"/>
      <w:szCs w:val="2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20781"/>
    <w:pPr>
      <w:spacing w:after="0" w:line="240" w:lineRule="auto"/>
    </w:pPr>
    <w:rPr>
      <w:kern w:val="2"/>
      <w14:ligatures w14:val="standardContextual"/>
    </w:rPr>
  </w:style>
  <w:style w:type="character" w:styleId="Refdecomentario">
    <w:name w:val="annotation reference"/>
    <w:basedOn w:val="Fuentedeprrafopredeter"/>
    <w:uiPriority w:val="99"/>
    <w:semiHidden/>
    <w:unhideWhenUsed/>
    <w:rsid w:val="001E68EE"/>
    <w:rPr>
      <w:sz w:val="16"/>
      <w:szCs w:val="16"/>
    </w:rPr>
  </w:style>
  <w:style w:type="paragraph" w:styleId="Textocomentario">
    <w:name w:val="annotation text"/>
    <w:basedOn w:val="Normal"/>
    <w:link w:val="TextocomentarioCar"/>
    <w:uiPriority w:val="99"/>
    <w:unhideWhenUsed/>
    <w:rsid w:val="001E68EE"/>
    <w:pPr>
      <w:spacing w:line="240" w:lineRule="auto"/>
    </w:pPr>
    <w:rPr>
      <w:sz w:val="20"/>
      <w:szCs w:val="20"/>
    </w:rPr>
  </w:style>
  <w:style w:type="character" w:customStyle="1" w:styleId="TextocomentarioCar">
    <w:name w:val="Texto comentario Car"/>
    <w:basedOn w:val="Fuentedeprrafopredeter"/>
    <w:link w:val="Textocomentario"/>
    <w:uiPriority w:val="99"/>
    <w:rsid w:val="001E68EE"/>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1E68EE"/>
    <w:rPr>
      <w:b/>
      <w:bCs/>
    </w:rPr>
  </w:style>
  <w:style w:type="character" w:customStyle="1" w:styleId="AsuntodelcomentarioCar">
    <w:name w:val="Asunto del comentario Car"/>
    <w:basedOn w:val="TextocomentarioCar"/>
    <w:link w:val="Asuntodelcomentario"/>
    <w:uiPriority w:val="99"/>
    <w:semiHidden/>
    <w:rsid w:val="001E68EE"/>
    <w:rPr>
      <w:b/>
      <w:bCs/>
      <w:kern w:val="2"/>
      <w:sz w:val="20"/>
      <w:szCs w:val="20"/>
      <w14:ligatures w14:val="standardContextual"/>
    </w:rPr>
  </w:style>
  <w:style w:type="paragraph" w:styleId="Prrafodelista">
    <w:name w:val="List Paragraph"/>
    <w:basedOn w:val="Normal"/>
    <w:uiPriority w:val="34"/>
    <w:qFormat/>
    <w:rsid w:val="009812DE"/>
    <w:pPr>
      <w:ind w:left="720"/>
      <w:contextualSpacing/>
    </w:pPr>
  </w:style>
  <w:style w:type="character" w:customStyle="1" w:styleId="Ttulo1Car">
    <w:name w:val="Título 1 Car"/>
    <w:basedOn w:val="Fuentedeprrafopredeter"/>
    <w:link w:val="Ttulo1"/>
    <w:uiPriority w:val="9"/>
    <w:rsid w:val="009812DE"/>
    <w:rPr>
      <w:rFonts w:ascii="Calibri" w:eastAsia="Times New Roman" w:hAnsi="Calibri" w:cs="Times New Roman"/>
      <w:b/>
      <w:bCs/>
      <w:caps/>
      <w:sz w:val="24"/>
      <w:szCs w:val="28"/>
      <w:lang w:eastAsia="es-CO"/>
    </w:rPr>
  </w:style>
  <w:style w:type="character" w:customStyle="1" w:styleId="Ttulo2Car">
    <w:name w:val="Título 2 Car"/>
    <w:basedOn w:val="Fuentedeprrafopredeter"/>
    <w:link w:val="Ttulo2"/>
    <w:uiPriority w:val="9"/>
    <w:rsid w:val="009812DE"/>
    <w:rPr>
      <w:rFonts w:ascii="Calibri" w:eastAsia="Times New Roman" w:hAnsi="Calibri" w:cs="Times New Roman"/>
      <w:b/>
      <w:bCs/>
      <w:sz w:val="24"/>
      <w:szCs w:val="26"/>
      <w:lang w:eastAsia="es-CO"/>
    </w:rPr>
  </w:style>
  <w:style w:type="character" w:customStyle="1" w:styleId="Ttulo3Car">
    <w:name w:val="Título 3 Car"/>
    <w:basedOn w:val="Fuentedeprrafopredeter"/>
    <w:link w:val="Ttulo3"/>
    <w:rsid w:val="009812DE"/>
    <w:rPr>
      <w:rFonts w:ascii="Calibri" w:eastAsia="Times New Roman" w:hAnsi="Calibri" w:cs="Times New Roman"/>
      <w:bCs/>
      <w:i/>
      <w:sz w:val="24"/>
      <w:szCs w:val="20"/>
      <w:lang w:eastAsia="es-CO"/>
    </w:rPr>
  </w:style>
  <w:style w:type="character" w:customStyle="1" w:styleId="Ttulo4Car">
    <w:name w:val="Título 4 Car"/>
    <w:basedOn w:val="Fuentedeprrafopredeter"/>
    <w:link w:val="Ttulo4"/>
    <w:rsid w:val="009812DE"/>
    <w:rPr>
      <w:rFonts w:ascii="Calibri" w:eastAsia="Times New Roman" w:hAnsi="Calibri" w:cs="Times New Roman"/>
      <w:bCs/>
      <w:i/>
      <w:iCs/>
      <w:sz w:val="24"/>
      <w:szCs w:val="20"/>
      <w:lang w:eastAsia="es-CO"/>
    </w:rPr>
  </w:style>
  <w:style w:type="character" w:customStyle="1" w:styleId="Ttulo5Car">
    <w:name w:val="Título 5 Car"/>
    <w:basedOn w:val="Fuentedeprrafopredeter"/>
    <w:link w:val="Ttulo5"/>
    <w:rsid w:val="009812DE"/>
    <w:rPr>
      <w:rFonts w:ascii="Calibri" w:eastAsia="Times New Roman" w:hAnsi="Calibri" w:cs="Times New Roman"/>
      <w:i/>
      <w:szCs w:val="20"/>
      <w:lang w:eastAsia="es-CO"/>
    </w:rPr>
  </w:style>
  <w:style w:type="paragraph" w:styleId="Ttulo">
    <w:name w:val="Title"/>
    <w:basedOn w:val="Normal"/>
    <w:next w:val="Normal"/>
    <w:link w:val="TtuloCar"/>
    <w:uiPriority w:val="10"/>
    <w:qFormat/>
    <w:rsid w:val="009812DE"/>
    <w:pPr>
      <w:numPr>
        <w:numId w:val="3"/>
      </w:numPr>
      <w:spacing w:after="0" w:line="240" w:lineRule="auto"/>
      <w:jc w:val="center"/>
      <w:outlineLvl w:val="0"/>
    </w:pPr>
    <w:rPr>
      <w:rFonts w:ascii="Calibri" w:eastAsia="Times New Roman" w:hAnsi="Calibri" w:cs="Times New Roman"/>
      <w:b/>
      <w:kern w:val="0"/>
      <w:lang w:val="es-MX" w:eastAsia="es-ES"/>
      <w14:ligatures w14:val="none"/>
    </w:rPr>
  </w:style>
  <w:style w:type="character" w:customStyle="1" w:styleId="TtuloCar">
    <w:name w:val="Título Car"/>
    <w:basedOn w:val="Fuentedeprrafopredeter"/>
    <w:link w:val="Ttulo"/>
    <w:uiPriority w:val="10"/>
    <w:rsid w:val="009812DE"/>
    <w:rPr>
      <w:rFonts w:ascii="Calibri" w:eastAsia="Times New Roman" w:hAnsi="Calibri" w:cs="Times New Roman"/>
      <w:b/>
      <w:lang w:val="es-MX" w:eastAsia="es-ES"/>
    </w:rPr>
  </w:style>
  <w:style w:type="character" w:styleId="Hipervnculo">
    <w:name w:val="Hyperlink"/>
    <w:basedOn w:val="Fuentedeprrafopredeter"/>
    <w:uiPriority w:val="99"/>
    <w:unhideWhenUsed/>
    <w:rsid w:val="009812DE"/>
    <w:rPr>
      <w:color w:val="0563C1" w:themeColor="hyperlink"/>
      <w:u w:val="single"/>
    </w:rPr>
  </w:style>
  <w:style w:type="paragraph" w:styleId="Textodeglobo">
    <w:name w:val="Balloon Text"/>
    <w:basedOn w:val="Normal"/>
    <w:link w:val="TextodegloboCar"/>
    <w:uiPriority w:val="99"/>
    <w:semiHidden/>
    <w:unhideWhenUsed/>
    <w:rsid w:val="001510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10EC"/>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26018978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419132648">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90194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50461-9147-4276-AA61-CEA17F74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3338</Words>
  <Characters>18360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Jackson Stewar Ackine Leguizamo - GIT de Doctrina y Capacitacion</cp:lastModifiedBy>
  <cp:revision>5</cp:revision>
  <cp:lastPrinted>2024-06-05T16:55:00Z</cp:lastPrinted>
  <dcterms:created xsi:type="dcterms:W3CDTF">2025-02-20T20:26:00Z</dcterms:created>
  <dcterms:modified xsi:type="dcterms:W3CDTF">2025-02-25T19:55:00Z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924ef62e0135fc82db89a877cfa48dcb46486c06fcf6235b8e77ebada96b7643</vt:lpwstr>
  </property>
</Properties>
</file>