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  <w:r w:rsidRPr="00803C9A">
        <w:rPr>
          <w:rFonts w:ascii="Calibri" w:hAnsi="Calibri"/>
          <w:b w:val="0"/>
          <w:sz w:val="22"/>
          <w:szCs w:val="22"/>
        </w:rPr>
        <w:tab/>
      </w:r>
    </w:p>
    <w:p w:rsidR="00150D1B" w:rsidRPr="009C6046" w:rsidRDefault="00150D1B" w:rsidP="00150D1B">
      <w:pPr>
        <w:jc w:val="center"/>
        <w:rPr>
          <w:rFonts w:ascii="Calibri" w:hAnsi="Calibri"/>
          <w:sz w:val="36"/>
          <w:szCs w:val="36"/>
        </w:rPr>
      </w:pPr>
      <w:r w:rsidRPr="009C6046">
        <w:rPr>
          <w:rFonts w:ascii="Calibri" w:hAnsi="Calibri"/>
          <w:sz w:val="36"/>
          <w:szCs w:val="36"/>
        </w:rPr>
        <w:t>CONTADUR</w:t>
      </w:r>
      <w:r>
        <w:rPr>
          <w:rFonts w:ascii="Calibri" w:hAnsi="Calibri"/>
          <w:sz w:val="36"/>
          <w:szCs w:val="36"/>
        </w:rPr>
        <w:t>Í</w:t>
      </w:r>
      <w:r w:rsidRPr="009C6046">
        <w:rPr>
          <w:rFonts w:ascii="Calibri" w:hAnsi="Calibri"/>
          <w:sz w:val="36"/>
          <w:szCs w:val="36"/>
        </w:rPr>
        <w:t>A GENERAL DE LA NACI</w:t>
      </w:r>
      <w:r>
        <w:rPr>
          <w:rFonts w:ascii="Calibri" w:hAnsi="Calibri"/>
          <w:sz w:val="36"/>
          <w:szCs w:val="36"/>
        </w:rPr>
        <w:t>Ó</w:t>
      </w:r>
      <w:r w:rsidRPr="009C6046">
        <w:rPr>
          <w:rFonts w:ascii="Calibri" w:hAnsi="Calibri"/>
          <w:sz w:val="36"/>
          <w:szCs w:val="36"/>
        </w:rPr>
        <w:t xml:space="preserve">N </w:t>
      </w:r>
    </w:p>
    <w:p w:rsidR="00150D1B" w:rsidRDefault="00150D1B" w:rsidP="00150D1B">
      <w:pPr>
        <w:jc w:val="center"/>
        <w:rPr>
          <w:rFonts w:ascii="Calibri" w:hAnsi="Calibri"/>
          <w:sz w:val="32"/>
          <w:szCs w:val="22"/>
        </w:rPr>
      </w:pP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Pr="00803C9A" w:rsidRDefault="00150D1B" w:rsidP="00150D1B">
      <w:pPr>
        <w:rPr>
          <w:rFonts w:ascii="Calibri" w:hAnsi="Calibri"/>
          <w:b w:val="0"/>
          <w:sz w:val="32"/>
          <w:szCs w:val="22"/>
        </w:rPr>
      </w:pPr>
    </w:p>
    <w:p w:rsidR="00150D1B" w:rsidRPr="00A643C8" w:rsidRDefault="00150D1B" w:rsidP="00150D1B">
      <w:pPr>
        <w:jc w:val="center"/>
        <w:rPr>
          <w:rFonts w:ascii="Calibri" w:hAnsi="Calibri"/>
          <w:sz w:val="32"/>
          <w:szCs w:val="22"/>
        </w:rPr>
      </w:pPr>
      <w:r w:rsidRPr="00A643C8">
        <w:rPr>
          <w:rFonts w:ascii="Calibri" w:hAnsi="Calibri"/>
          <w:sz w:val="32"/>
          <w:szCs w:val="22"/>
        </w:rPr>
        <w:t xml:space="preserve">INFORME DE GESTIÓN </w:t>
      </w:r>
      <w:r>
        <w:rPr>
          <w:rFonts w:ascii="Calibri" w:hAnsi="Calibri"/>
          <w:sz w:val="32"/>
          <w:szCs w:val="22"/>
        </w:rPr>
        <w:t xml:space="preserve">I TRIMESTRE </w:t>
      </w:r>
      <w:r w:rsidRPr="00A643C8">
        <w:rPr>
          <w:rFonts w:ascii="Calibri" w:hAnsi="Calibri"/>
          <w:sz w:val="32"/>
          <w:szCs w:val="22"/>
        </w:rPr>
        <w:t>AÑO 201</w:t>
      </w:r>
      <w:r>
        <w:rPr>
          <w:rFonts w:ascii="Calibri" w:hAnsi="Calibri"/>
          <w:sz w:val="32"/>
          <w:szCs w:val="22"/>
        </w:rPr>
        <w:t>7</w:t>
      </w:r>
    </w:p>
    <w:p w:rsidR="00150D1B" w:rsidRPr="00A643C8" w:rsidRDefault="00150D1B" w:rsidP="00150D1B">
      <w:pPr>
        <w:jc w:val="center"/>
        <w:rPr>
          <w:rFonts w:ascii="Calibri" w:hAnsi="Calibri"/>
          <w:sz w:val="32"/>
          <w:szCs w:val="22"/>
        </w:rPr>
      </w:pPr>
    </w:p>
    <w:p w:rsidR="00150D1B" w:rsidRPr="00A643C8" w:rsidRDefault="00150D1B" w:rsidP="00150D1B">
      <w:pPr>
        <w:jc w:val="center"/>
        <w:rPr>
          <w:rFonts w:ascii="Calibri" w:hAnsi="Calibri"/>
          <w:sz w:val="32"/>
          <w:szCs w:val="22"/>
        </w:rPr>
      </w:pPr>
    </w:p>
    <w:p w:rsidR="00150D1B" w:rsidRPr="00A643C8" w:rsidRDefault="00150D1B" w:rsidP="00150D1B">
      <w:pPr>
        <w:jc w:val="center"/>
        <w:rPr>
          <w:rFonts w:ascii="Calibri" w:hAnsi="Calibri"/>
          <w:sz w:val="32"/>
          <w:szCs w:val="22"/>
        </w:rPr>
      </w:pPr>
    </w:p>
    <w:p w:rsidR="00150D1B" w:rsidRPr="00A643C8" w:rsidRDefault="00150D1B" w:rsidP="00150D1B">
      <w:pPr>
        <w:jc w:val="center"/>
        <w:rPr>
          <w:rFonts w:ascii="Calibri" w:hAnsi="Calibri"/>
          <w:sz w:val="32"/>
          <w:szCs w:val="22"/>
        </w:rPr>
      </w:pPr>
    </w:p>
    <w:p w:rsidR="00150D1B" w:rsidRPr="00A643C8" w:rsidRDefault="00150D1B" w:rsidP="00150D1B">
      <w:pPr>
        <w:jc w:val="center"/>
        <w:rPr>
          <w:rFonts w:ascii="Calibri" w:hAnsi="Calibri"/>
          <w:sz w:val="32"/>
          <w:szCs w:val="22"/>
        </w:rPr>
      </w:pPr>
    </w:p>
    <w:p w:rsidR="00150D1B" w:rsidRPr="00A643C8" w:rsidRDefault="00150D1B" w:rsidP="00150D1B">
      <w:pPr>
        <w:jc w:val="center"/>
        <w:rPr>
          <w:rFonts w:ascii="Calibri" w:hAnsi="Calibri"/>
          <w:sz w:val="32"/>
          <w:szCs w:val="22"/>
        </w:rPr>
      </w:pPr>
      <w:r w:rsidRPr="00A643C8">
        <w:rPr>
          <w:rFonts w:ascii="Calibri" w:hAnsi="Calibri"/>
          <w:sz w:val="32"/>
          <w:szCs w:val="22"/>
        </w:rPr>
        <w:t>PLAN ESTRAT</w:t>
      </w:r>
      <w:r>
        <w:rPr>
          <w:rFonts w:ascii="Calibri" w:hAnsi="Calibri"/>
          <w:sz w:val="32"/>
          <w:szCs w:val="22"/>
        </w:rPr>
        <w:t>É</w:t>
      </w:r>
      <w:r w:rsidRPr="00A643C8">
        <w:rPr>
          <w:rFonts w:ascii="Calibri" w:hAnsi="Calibri"/>
          <w:sz w:val="32"/>
          <w:szCs w:val="22"/>
        </w:rPr>
        <w:t>GICO INSTITUCIONAL</w:t>
      </w:r>
    </w:p>
    <w:p w:rsidR="00150D1B" w:rsidRPr="00A643C8" w:rsidRDefault="00150D1B" w:rsidP="00150D1B">
      <w:pPr>
        <w:jc w:val="center"/>
        <w:rPr>
          <w:rFonts w:ascii="Calibri" w:hAnsi="Calibri"/>
          <w:sz w:val="32"/>
          <w:szCs w:val="22"/>
        </w:rPr>
      </w:pPr>
      <w:r w:rsidRPr="00A643C8">
        <w:rPr>
          <w:rFonts w:ascii="Calibri" w:hAnsi="Calibri"/>
          <w:sz w:val="32"/>
          <w:szCs w:val="22"/>
        </w:rPr>
        <w:t xml:space="preserve">  </w:t>
      </w:r>
      <w:r w:rsidRPr="004363A5">
        <w:rPr>
          <w:rFonts w:ascii="Calibri" w:hAnsi="Calibri"/>
          <w:sz w:val="32"/>
          <w:szCs w:val="22"/>
        </w:rPr>
        <w:t>2013-2018</w:t>
      </w:r>
    </w:p>
    <w:p w:rsidR="00150D1B" w:rsidRPr="00A643C8" w:rsidRDefault="00150D1B" w:rsidP="00150D1B">
      <w:pPr>
        <w:jc w:val="center"/>
        <w:rPr>
          <w:rFonts w:ascii="Calibri" w:hAnsi="Calibri"/>
          <w:sz w:val="32"/>
          <w:szCs w:val="22"/>
        </w:rPr>
      </w:pPr>
      <w:r w:rsidRPr="00A643C8">
        <w:rPr>
          <w:rFonts w:ascii="Calibri" w:hAnsi="Calibri"/>
          <w:sz w:val="32"/>
          <w:szCs w:val="22"/>
        </w:rPr>
        <w:t xml:space="preserve"> </w:t>
      </w:r>
    </w:p>
    <w:p w:rsidR="00150D1B" w:rsidRPr="00A643C8" w:rsidRDefault="00150D1B" w:rsidP="00150D1B">
      <w:pPr>
        <w:jc w:val="center"/>
        <w:rPr>
          <w:rFonts w:ascii="Calibri" w:hAnsi="Calibri"/>
          <w:sz w:val="32"/>
          <w:szCs w:val="22"/>
        </w:rPr>
      </w:pPr>
    </w:p>
    <w:p w:rsidR="00150D1B" w:rsidRPr="00A643C8" w:rsidRDefault="00150D1B" w:rsidP="00150D1B">
      <w:pPr>
        <w:jc w:val="center"/>
        <w:rPr>
          <w:rFonts w:ascii="Calibri" w:hAnsi="Calibri"/>
          <w:sz w:val="32"/>
          <w:szCs w:val="22"/>
        </w:rPr>
      </w:pPr>
    </w:p>
    <w:p w:rsidR="00150D1B" w:rsidRPr="00A643C8" w:rsidRDefault="00150D1B" w:rsidP="00150D1B">
      <w:pPr>
        <w:jc w:val="center"/>
        <w:rPr>
          <w:rFonts w:ascii="Calibri" w:hAnsi="Calibri"/>
          <w:sz w:val="32"/>
          <w:szCs w:val="22"/>
        </w:rPr>
      </w:pPr>
    </w:p>
    <w:p w:rsidR="00150D1B" w:rsidRPr="00A643C8" w:rsidRDefault="00150D1B" w:rsidP="00150D1B">
      <w:pPr>
        <w:rPr>
          <w:rFonts w:ascii="Calibri" w:hAnsi="Calibri"/>
          <w:sz w:val="32"/>
          <w:szCs w:val="22"/>
        </w:rPr>
      </w:pPr>
    </w:p>
    <w:p w:rsidR="00150D1B" w:rsidRPr="00A643C8" w:rsidRDefault="00150D1B" w:rsidP="00150D1B">
      <w:pPr>
        <w:jc w:val="center"/>
        <w:rPr>
          <w:rFonts w:ascii="Calibri" w:hAnsi="Calibri"/>
          <w:sz w:val="32"/>
          <w:szCs w:val="22"/>
        </w:rPr>
      </w:pPr>
    </w:p>
    <w:p w:rsidR="00150D1B" w:rsidRPr="00A643C8" w:rsidRDefault="00150D1B" w:rsidP="00150D1B">
      <w:pPr>
        <w:jc w:val="center"/>
        <w:rPr>
          <w:rFonts w:ascii="Calibri" w:hAnsi="Calibri"/>
          <w:sz w:val="32"/>
          <w:szCs w:val="22"/>
        </w:rPr>
      </w:pPr>
    </w:p>
    <w:p w:rsidR="00150D1B" w:rsidRPr="00A643C8" w:rsidRDefault="00150D1B" w:rsidP="00150D1B">
      <w:pPr>
        <w:jc w:val="center"/>
        <w:rPr>
          <w:rFonts w:ascii="Calibri" w:hAnsi="Calibri"/>
          <w:sz w:val="32"/>
          <w:szCs w:val="22"/>
        </w:rPr>
      </w:pPr>
    </w:p>
    <w:p w:rsidR="00150D1B" w:rsidRPr="00A643C8" w:rsidRDefault="00150D1B" w:rsidP="00150D1B">
      <w:pPr>
        <w:jc w:val="center"/>
        <w:rPr>
          <w:rFonts w:ascii="Calibri" w:hAnsi="Calibri"/>
          <w:sz w:val="32"/>
          <w:szCs w:val="22"/>
        </w:rPr>
      </w:pPr>
      <w:r w:rsidRPr="00A643C8">
        <w:rPr>
          <w:rFonts w:ascii="Calibri" w:hAnsi="Calibri"/>
          <w:sz w:val="32"/>
          <w:szCs w:val="22"/>
        </w:rPr>
        <w:t>PEDRO LUIS BOH</w:t>
      </w:r>
      <w:r>
        <w:rPr>
          <w:rFonts w:ascii="Calibri" w:hAnsi="Calibri"/>
          <w:sz w:val="32"/>
          <w:szCs w:val="22"/>
        </w:rPr>
        <w:t>Ó</w:t>
      </w:r>
      <w:r w:rsidRPr="00A643C8">
        <w:rPr>
          <w:rFonts w:ascii="Calibri" w:hAnsi="Calibri"/>
          <w:sz w:val="32"/>
          <w:szCs w:val="22"/>
        </w:rPr>
        <w:t>RQUEZ RAM</w:t>
      </w:r>
      <w:r>
        <w:rPr>
          <w:rFonts w:ascii="Calibri" w:hAnsi="Calibri"/>
          <w:sz w:val="32"/>
          <w:szCs w:val="22"/>
        </w:rPr>
        <w:t>Í</w:t>
      </w:r>
      <w:r w:rsidRPr="00A643C8">
        <w:rPr>
          <w:rFonts w:ascii="Calibri" w:hAnsi="Calibri"/>
          <w:sz w:val="32"/>
          <w:szCs w:val="22"/>
        </w:rPr>
        <w:t>REZ</w:t>
      </w:r>
    </w:p>
    <w:p w:rsidR="00150D1B" w:rsidRPr="00A643C8" w:rsidRDefault="00150D1B" w:rsidP="00150D1B">
      <w:pPr>
        <w:jc w:val="center"/>
        <w:rPr>
          <w:rFonts w:ascii="Calibri" w:hAnsi="Calibri"/>
          <w:sz w:val="32"/>
          <w:szCs w:val="22"/>
        </w:rPr>
      </w:pPr>
      <w:r w:rsidRPr="00A643C8">
        <w:rPr>
          <w:rFonts w:ascii="Calibri" w:hAnsi="Calibri"/>
          <w:sz w:val="32"/>
          <w:szCs w:val="22"/>
        </w:rPr>
        <w:t xml:space="preserve">Contador General de </w:t>
      </w:r>
      <w:r>
        <w:rPr>
          <w:rFonts w:ascii="Calibri" w:hAnsi="Calibri"/>
          <w:sz w:val="32"/>
          <w:szCs w:val="22"/>
        </w:rPr>
        <w:t>l</w:t>
      </w:r>
      <w:r w:rsidRPr="00A643C8">
        <w:rPr>
          <w:rFonts w:ascii="Calibri" w:hAnsi="Calibri"/>
          <w:sz w:val="32"/>
          <w:szCs w:val="22"/>
        </w:rPr>
        <w:t>a Nación</w:t>
      </w:r>
    </w:p>
    <w:p w:rsidR="00150D1B" w:rsidRPr="00A643C8" w:rsidRDefault="00150D1B" w:rsidP="00150D1B">
      <w:pPr>
        <w:jc w:val="center"/>
        <w:rPr>
          <w:rFonts w:ascii="Calibri" w:hAnsi="Calibri"/>
          <w:sz w:val="32"/>
          <w:szCs w:val="22"/>
        </w:rPr>
      </w:pPr>
    </w:p>
    <w:p w:rsidR="00150D1B" w:rsidRPr="00A643C8" w:rsidRDefault="00150D1B" w:rsidP="00150D1B">
      <w:pPr>
        <w:jc w:val="center"/>
        <w:rPr>
          <w:rFonts w:ascii="Calibri" w:hAnsi="Calibri"/>
          <w:sz w:val="32"/>
          <w:szCs w:val="22"/>
        </w:rPr>
      </w:pPr>
    </w:p>
    <w:p w:rsidR="00150D1B" w:rsidRPr="00A643C8" w:rsidRDefault="00150D1B" w:rsidP="00150D1B">
      <w:pPr>
        <w:jc w:val="center"/>
        <w:rPr>
          <w:rFonts w:ascii="Calibri" w:hAnsi="Calibri"/>
          <w:sz w:val="32"/>
          <w:szCs w:val="22"/>
        </w:rPr>
      </w:pPr>
    </w:p>
    <w:p w:rsidR="00150D1B" w:rsidRPr="00A643C8" w:rsidRDefault="00150D1B" w:rsidP="00150D1B">
      <w:pPr>
        <w:jc w:val="center"/>
        <w:rPr>
          <w:rFonts w:ascii="Calibri" w:hAnsi="Calibri"/>
          <w:sz w:val="32"/>
          <w:szCs w:val="22"/>
        </w:rPr>
      </w:pPr>
    </w:p>
    <w:p w:rsidR="00150D1B" w:rsidRPr="00A643C8" w:rsidRDefault="00150D1B" w:rsidP="00150D1B">
      <w:pPr>
        <w:jc w:val="center"/>
        <w:rPr>
          <w:rFonts w:ascii="Calibri" w:hAnsi="Calibri"/>
          <w:sz w:val="32"/>
          <w:szCs w:val="22"/>
        </w:rPr>
      </w:pPr>
    </w:p>
    <w:p w:rsidR="00150D1B" w:rsidRPr="00A643C8" w:rsidRDefault="00150D1B" w:rsidP="00150D1B">
      <w:pPr>
        <w:jc w:val="center"/>
        <w:rPr>
          <w:rFonts w:ascii="Calibri" w:hAnsi="Calibri"/>
          <w:sz w:val="32"/>
          <w:szCs w:val="22"/>
        </w:rPr>
      </w:pPr>
    </w:p>
    <w:p w:rsidR="00150D1B" w:rsidRPr="00A643C8" w:rsidRDefault="00150D1B" w:rsidP="00150D1B">
      <w:pPr>
        <w:jc w:val="center"/>
        <w:rPr>
          <w:rFonts w:ascii="Calibri" w:hAnsi="Calibri"/>
          <w:sz w:val="22"/>
          <w:szCs w:val="22"/>
        </w:rPr>
      </w:pPr>
      <w:r w:rsidRPr="00A643C8">
        <w:rPr>
          <w:rFonts w:ascii="Calibri" w:hAnsi="Calibri"/>
          <w:sz w:val="32"/>
          <w:szCs w:val="22"/>
        </w:rPr>
        <w:t xml:space="preserve">BOGOTÁ, </w:t>
      </w:r>
      <w:r>
        <w:rPr>
          <w:rFonts w:ascii="Calibri" w:hAnsi="Calibri"/>
          <w:sz w:val="32"/>
          <w:szCs w:val="22"/>
        </w:rPr>
        <w:t>ABRIL</w:t>
      </w:r>
      <w:r w:rsidRPr="00A643C8">
        <w:rPr>
          <w:rFonts w:ascii="Calibri" w:hAnsi="Calibri"/>
          <w:sz w:val="32"/>
          <w:szCs w:val="22"/>
        </w:rPr>
        <w:t xml:space="preserve"> DE 201</w:t>
      </w:r>
      <w:r>
        <w:rPr>
          <w:rFonts w:ascii="Calibri" w:hAnsi="Calibri"/>
          <w:sz w:val="32"/>
          <w:szCs w:val="22"/>
        </w:rPr>
        <w:t>7</w:t>
      </w:r>
    </w:p>
    <w:p w:rsidR="00150D1B" w:rsidRPr="00803C9A" w:rsidRDefault="00150D1B" w:rsidP="00150D1B">
      <w:pPr>
        <w:pStyle w:val="Ttulo1"/>
        <w:numPr>
          <w:ilvl w:val="0"/>
          <w:numId w:val="0"/>
        </w:numPr>
        <w:ind w:left="360"/>
        <w:jc w:val="center"/>
        <w:rPr>
          <w:b w:val="0"/>
        </w:rPr>
      </w:pPr>
      <w:r w:rsidRPr="00A643C8">
        <w:br w:type="page"/>
      </w:r>
      <w:bookmarkStart w:id="0" w:name="_Toc308986612"/>
      <w:bookmarkStart w:id="1" w:name="_Toc309056927"/>
      <w:bookmarkStart w:id="2" w:name="_Toc309134144"/>
      <w:bookmarkStart w:id="3" w:name="_Toc315641273"/>
      <w:bookmarkStart w:id="4" w:name="_Toc315688128"/>
      <w:bookmarkStart w:id="5" w:name="_Toc324258707"/>
      <w:bookmarkStart w:id="6" w:name="_Toc325016457"/>
      <w:bookmarkStart w:id="7" w:name="_Toc326308214"/>
      <w:bookmarkStart w:id="8" w:name="_Toc336241233"/>
      <w:bookmarkStart w:id="9" w:name="_Toc336241270"/>
      <w:bookmarkStart w:id="10" w:name="_Toc336256098"/>
      <w:bookmarkStart w:id="11" w:name="_Toc359248321"/>
      <w:bookmarkStart w:id="12" w:name="_Toc369629555"/>
      <w:bookmarkStart w:id="13" w:name="_Toc369629640"/>
      <w:bookmarkStart w:id="14" w:name="_Toc481054899"/>
      <w:r w:rsidRPr="00803C9A">
        <w:rPr>
          <w:b w:val="0"/>
        </w:rPr>
        <w:lastRenderedPageBreak/>
        <w:t>CONTENIDO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150D1B" w:rsidRPr="00803C9A" w:rsidRDefault="00150D1B" w:rsidP="00150D1B">
      <w:pPr>
        <w:jc w:val="center"/>
        <w:rPr>
          <w:rFonts w:ascii="Calibri" w:hAnsi="Calibri"/>
          <w:b w:val="0"/>
          <w:sz w:val="22"/>
          <w:szCs w:val="22"/>
        </w:rPr>
      </w:pP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  <w:lang w:eastAsia="en-US"/>
        </w:rPr>
      </w:pPr>
    </w:p>
    <w:p w:rsidR="00150D1B" w:rsidRPr="000D0DE0" w:rsidRDefault="00150D1B" w:rsidP="00150D1B">
      <w:pPr>
        <w:pStyle w:val="TDC1"/>
        <w:rPr>
          <w:rFonts w:ascii="Calibri" w:hAnsi="Calibri" w:cs="Times New Roman"/>
          <w:b w:val="0"/>
          <w:noProof/>
          <w:sz w:val="22"/>
          <w:szCs w:val="22"/>
          <w:lang w:val="es-CO" w:eastAsia="es-CO"/>
        </w:rPr>
      </w:pPr>
      <w:r w:rsidRPr="00803C9A">
        <w:rPr>
          <w:rFonts w:ascii="Calibri" w:hAnsi="Calibri"/>
          <w:b w:val="0"/>
          <w:sz w:val="22"/>
          <w:szCs w:val="22"/>
        </w:rPr>
        <w:fldChar w:fldCharType="begin"/>
      </w:r>
      <w:r w:rsidRPr="00803C9A">
        <w:rPr>
          <w:rFonts w:ascii="Calibri" w:hAnsi="Calibri"/>
          <w:b w:val="0"/>
          <w:sz w:val="22"/>
          <w:szCs w:val="22"/>
        </w:rPr>
        <w:instrText xml:space="preserve"> TOC \o "1-3" \h \z \u </w:instrText>
      </w:r>
      <w:r w:rsidRPr="00803C9A">
        <w:rPr>
          <w:rFonts w:ascii="Calibri" w:hAnsi="Calibri"/>
          <w:b w:val="0"/>
          <w:sz w:val="22"/>
          <w:szCs w:val="22"/>
        </w:rPr>
        <w:fldChar w:fldCharType="separate"/>
      </w:r>
      <w:hyperlink w:anchor="_Toc481054899" w:history="1">
        <w:r w:rsidRPr="0081646F">
          <w:rPr>
            <w:rStyle w:val="Hipervnculo"/>
            <w:noProof/>
          </w:rPr>
          <w:t>CONTENIDO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_Toc481054899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50D1B" w:rsidRPr="000D0DE0" w:rsidRDefault="00150D1B" w:rsidP="00150D1B">
      <w:pPr>
        <w:pStyle w:val="TDC1"/>
        <w:rPr>
          <w:rFonts w:ascii="Calibri" w:hAnsi="Calibri" w:cs="Times New Roman"/>
          <w:b w:val="0"/>
          <w:noProof/>
          <w:sz w:val="22"/>
          <w:szCs w:val="22"/>
          <w:lang w:val="es-CO" w:eastAsia="es-CO"/>
        </w:rPr>
      </w:pPr>
      <w:hyperlink w:anchor="_Toc481054900" w:history="1">
        <w:r w:rsidRPr="0081646F">
          <w:rPr>
            <w:rStyle w:val="Hipervnculo"/>
            <w:noProof/>
          </w:rPr>
          <w:t>INTRODUCCI</w:t>
        </w:r>
        <w:r>
          <w:rPr>
            <w:rStyle w:val="Hipervnculo"/>
            <w:noProof/>
          </w:rPr>
          <w:t>Ó</w:t>
        </w:r>
        <w:r w:rsidRPr="0081646F">
          <w:rPr>
            <w:rStyle w:val="Hipervnculo"/>
            <w:noProof/>
          </w:rPr>
          <w:t>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_Toc481054900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50D1B" w:rsidRPr="000D0DE0" w:rsidRDefault="00150D1B" w:rsidP="00150D1B">
      <w:pPr>
        <w:pStyle w:val="TDC1"/>
        <w:rPr>
          <w:rFonts w:ascii="Calibri" w:hAnsi="Calibri" w:cs="Times New Roman"/>
          <w:b w:val="0"/>
          <w:noProof/>
          <w:sz w:val="22"/>
          <w:szCs w:val="22"/>
          <w:lang w:val="es-CO" w:eastAsia="es-CO"/>
        </w:rPr>
      </w:pPr>
      <w:hyperlink w:anchor="_Toc481054901" w:history="1">
        <w:r w:rsidRPr="0081646F">
          <w:rPr>
            <w:rStyle w:val="Hipervnculo"/>
            <w:noProof/>
          </w:rPr>
          <w:t>METODOLOGIA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_Toc481054901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50D1B" w:rsidRPr="000D0DE0" w:rsidRDefault="00150D1B" w:rsidP="00150D1B">
      <w:pPr>
        <w:pStyle w:val="TDC1"/>
        <w:tabs>
          <w:tab w:val="left" w:pos="480"/>
        </w:tabs>
        <w:rPr>
          <w:rFonts w:ascii="Calibri" w:hAnsi="Calibri" w:cs="Times New Roman"/>
          <w:b w:val="0"/>
          <w:noProof/>
          <w:sz w:val="22"/>
          <w:szCs w:val="22"/>
          <w:lang w:val="es-CO" w:eastAsia="es-CO"/>
        </w:rPr>
      </w:pPr>
      <w:hyperlink w:anchor="_Toc481054902" w:history="1">
        <w:r w:rsidRPr="0081646F">
          <w:rPr>
            <w:rStyle w:val="Hipervnculo"/>
            <w:noProof/>
          </w:rPr>
          <w:t>I.</w:t>
        </w:r>
        <w:r w:rsidRPr="000D0DE0">
          <w:rPr>
            <w:rFonts w:ascii="Calibri" w:hAnsi="Calibri" w:cs="Times New Roman"/>
            <w:b w:val="0"/>
            <w:noProof/>
            <w:sz w:val="22"/>
            <w:szCs w:val="22"/>
            <w:lang w:val="es-CO" w:eastAsia="es-CO"/>
          </w:rPr>
          <w:tab/>
        </w:r>
        <w:r w:rsidRPr="0081646F">
          <w:rPr>
            <w:rStyle w:val="Hipervnculo"/>
            <w:noProof/>
          </w:rPr>
          <w:t xml:space="preserve">SEGUIMIENTO A LOS </w:t>
        </w:r>
        <w:r w:rsidRPr="0081646F">
          <w:rPr>
            <w:rStyle w:val="Hipervnculo"/>
            <w:noProof/>
            <w:lang w:val="es-CO"/>
          </w:rPr>
          <w:t>PLANE</w:t>
        </w:r>
        <w:r w:rsidRPr="0081646F">
          <w:rPr>
            <w:rStyle w:val="Hipervnculo"/>
            <w:noProof/>
          </w:rPr>
          <w:t>S ESTRATÉGICOS Y PROYECTOS DE INVERSIÓN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_Toc481054902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50D1B" w:rsidRPr="000D0DE0" w:rsidRDefault="00150D1B" w:rsidP="00150D1B">
      <w:pPr>
        <w:pStyle w:val="TDC1"/>
        <w:tabs>
          <w:tab w:val="left" w:pos="480"/>
        </w:tabs>
        <w:rPr>
          <w:rFonts w:ascii="Calibri" w:hAnsi="Calibri" w:cs="Times New Roman"/>
          <w:b w:val="0"/>
          <w:noProof/>
          <w:sz w:val="22"/>
          <w:szCs w:val="22"/>
          <w:lang w:val="es-CO" w:eastAsia="es-CO"/>
        </w:rPr>
      </w:pPr>
      <w:hyperlink w:anchor="_Toc481054903" w:history="1">
        <w:r w:rsidRPr="0081646F">
          <w:rPr>
            <w:rStyle w:val="Hipervnculo"/>
            <w:noProof/>
            <w:lang w:val="es-CL"/>
          </w:rPr>
          <w:t>II.</w:t>
        </w:r>
        <w:r w:rsidRPr="000D0DE0">
          <w:rPr>
            <w:rFonts w:ascii="Calibri" w:hAnsi="Calibri" w:cs="Times New Roman"/>
            <w:b w:val="0"/>
            <w:noProof/>
            <w:sz w:val="22"/>
            <w:szCs w:val="22"/>
            <w:lang w:val="es-CO" w:eastAsia="es-CO"/>
          </w:rPr>
          <w:tab/>
        </w:r>
        <w:r w:rsidRPr="0081646F">
          <w:rPr>
            <w:rStyle w:val="Hipervnculo"/>
            <w:noProof/>
            <w:lang w:val="es-CL"/>
          </w:rPr>
          <w:t>SEGUIMIENTO A PLANES DE ACCIÓN OPERATIVOS DE LA CGN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_Toc481054903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50D1B" w:rsidRPr="000D0DE0" w:rsidRDefault="00150D1B" w:rsidP="00150D1B">
      <w:pPr>
        <w:pStyle w:val="TDC1"/>
        <w:tabs>
          <w:tab w:val="left" w:pos="640"/>
        </w:tabs>
        <w:rPr>
          <w:rFonts w:ascii="Calibri" w:hAnsi="Calibri" w:cs="Times New Roman"/>
          <w:b w:val="0"/>
          <w:noProof/>
          <w:sz w:val="22"/>
          <w:szCs w:val="22"/>
          <w:lang w:val="es-CO" w:eastAsia="es-CO"/>
        </w:rPr>
      </w:pPr>
      <w:hyperlink w:anchor="_Toc481054904" w:history="1">
        <w:r w:rsidRPr="0081646F">
          <w:rPr>
            <w:rStyle w:val="Hipervnculo"/>
            <w:noProof/>
          </w:rPr>
          <w:t>III.</w:t>
        </w:r>
        <w:r w:rsidRPr="000D0DE0">
          <w:rPr>
            <w:rFonts w:ascii="Calibri" w:hAnsi="Calibri" w:cs="Times New Roman"/>
            <w:b w:val="0"/>
            <w:noProof/>
            <w:sz w:val="22"/>
            <w:szCs w:val="22"/>
            <w:lang w:val="es-CO" w:eastAsia="es-CO"/>
          </w:rPr>
          <w:tab/>
        </w:r>
        <w:r w:rsidRPr="0081646F">
          <w:rPr>
            <w:rStyle w:val="Hipervnculo"/>
            <w:noProof/>
          </w:rPr>
          <w:t>EVALUACIÓN DE LOS OBJETIVOS ESTRATÉGICOS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_Toc481054904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50D1B" w:rsidRPr="000D0DE0" w:rsidRDefault="00150D1B" w:rsidP="00150D1B">
      <w:pPr>
        <w:pStyle w:val="TDC1"/>
        <w:tabs>
          <w:tab w:val="left" w:pos="640"/>
        </w:tabs>
        <w:rPr>
          <w:rFonts w:ascii="Calibri" w:hAnsi="Calibri" w:cs="Times New Roman"/>
          <w:b w:val="0"/>
          <w:noProof/>
          <w:sz w:val="22"/>
          <w:szCs w:val="22"/>
          <w:lang w:val="es-CO" w:eastAsia="es-CO"/>
        </w:rPr>
      </w:pPr>
      <w:hyperlink w:anchor="_Toc481054905" w:history="1">
        <w:r w:rsidRPr="0081646F">
          <w:rPr>
            <w:rStyle w:val="Hipervnculo"/>
            <w:noProof/>
          </w:rPr>
          <w:t>IV.</w:t>
        </w:r>
        <w:r w:rsidRPr="000D0DE0">
          <w:rPr>
            <w:rFonts w:ascii="Calibri" w:hAnsi="Calibri" w:cs="Times New Roman"/>
            <w:b w:val="0"/>
            <w:noProof/>
            <w:sz w:val="22"/>
            <w:szCs w:val="22"/>
            <w:lang w:val="es-CO" w:eastAsia="es-CO"/>
          </w:rPr>
          <w:tab/>
        </w:r>
        <w:r w:rsidRPr="0081646F">
          <w:rPr>
            <w:rStyle w:val="Hipervnculo"/>
            <w:noProof/>
          </w:rPr>
          <w:t>RESULTADOS POR TIPO DE INDICADOR Y DE PROCESOS.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_Toc481054905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50D1B" w:rsidRPr="000D0DE0" w:rsidRDefault="00150D1B" w:rsidP="00150D1B">
      <w:pPr>
        <w:pStyle w:val="TDC1"/>
        <w:tabs>
          <w:tab w:val="left" w:pos="480"/>
        </w:tabs>
        <w:rPr>
          <w:rFonts w:ascii="Calibri" w:hAnsi="Calibri" w:cs="Times New Roman"/>
          <w:b w:val="0"/>
          <w:noProof/>
          <w:sz w:val="22"/>
          <w:szCs w:val="22"/>
          <w:lang w:val="es-CO" w:eastAsia="es-CO"/>
        </w:rPr>
      </w:pPr>
      <w:hyperlink w:anchor="_Toc481054906" w:history="1">
        <w:r w:rsidRPr="0081646F">
          <w:rPr>
            <w:rStyle w:val="Hipervnculo"/>
            <w:noProof/>
          </w:rPr>
          <w:t>V.</w:t>
        </w:r>
        <w:r w:rsidRPr="000D0DE0">
          <w:rPr>
            <w:rFonts w:ascii="Calibri" w:hAnsi="Calibri" w:cs="Times New Roman"/>
            <w:b w:val="0"/>
            <w:noProof/>
            <w:sz w:val="22"/>
            <w:szCs w:val="22"/>
            <w:lang w:val="es-CO" w:eastAsia="es-CO"/>
          </w:rPr>
          <w:tab/>
        </w:r>
        <w:r w:rsidRPr="0081646F">
          <w:rPr>
            <w:rStyle w:val="Hipervnculo"/>
            <w:noProof/>
          </w:rPr>
          <w:t>MODIFICACIONES PLAN ESTRAT</w:t>
        </w:r>
        <w:r w:rsidRPr="0081646F">
          <w:rPr>
            <w:rStyle w:val="Hipervnculo"/>
            <w:noProof/>
            <w:lang w:val="es-CO"/>
          </w:rPr>
          <w:t>É</w:t>
        </w:r>
        <w:r w:rsidRPr="0081646F">
          <w:rPr>
            <w:rStyle w:val="Hipervnculo"/>
            <w:noProof/>
          </w:rPr>
          <w:t>GICO INSTITUCIONAL 2013-2018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_Toc481054906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50D1B" w:rsidRPr="000D0DE0" w:rsidRDefault="00150D1B" w:rsidP="00150D1B">
      <w:pPr>
        <w:pStyle w:val="TDC1"/>
        <w:tabs>
          <w:tab w:val="left" w:pos="640"/>
        </w:tabs>
        <w:rPr>
          <w:rFonts w:ascii="Calibri" w:hAnsi="Calibri" w:cs="Times New Roman"/>
          <w:b w:val="0"/>
          <w:noProof/>
          <w:sz w:val="22"/>
          <w:szCs w:val="22"/>
          <w:lang w:val="es-CO" w:eastAsia="es-CO"/>
        </w:rPr>
      </w:pPr>
      <w:hyperlink w:anchor="_Toc481054907" w:history="1">
        <w:r w:rsidRPr="0081646F">
          <w:rPr>
            <w:rStyle w:val="Hipervnculo"/>
            <w:noProof/>
          </w:rPr>
          <w:t>VI.</w:t>
        </w:r>
        <w:r w:rsidRPr="000D0DE0">
          <w:rPr>
            <w:rFonts w:ascii="Calibri" w:hAnsi="Calibri" w:cs="Times New Roman"/>
            <w:b w:val="0"/>
            <w:noProof/>
            <w:sz w:val="22"/>
            <w:szCs w:val="22"/>
            <w:lang w:val="es-CO" w:eastAsia="es-CO"/>
          </w:rPr>
          <w:tab/>
        </w:r>
        <w:r w:rsidRPr="0081646F">
          <w:rPr>
            <w:rStyle w:val="Hipervnculo"/>
            <w:noProof/>
            <w:lang w:val="es-CO"/>
          </w:rPr>
          <w:t>C</w:t>
        </w:r>
        <w:r w:rsidRPr="0081646F">
          <w:rPr>
            <w:rStyle w:val="Hipervnculo"/>
            <w:noProof/>
          </w:rPr>
          <w:t>ONCLUSIONES Y RECOMENDACIONES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_Toc481054907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  <w:r w:rsidRPr="00803C9A">
        <w:rPr>
          <w:rFonts w:ascii="Calibri" w:hAnsi="Calibri"/>
          <w:b w:val="0"/>
          <w:sz w:val="22"/>
          <w:szCs w:val="22"/>
        </w:rPr>
        <w:fldChar w:fldCharType="end"/>
      </w: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  <w:highlight w:val="yellow"/>
        </w:rPr>
      </w:pP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  <w:highlight w:val="yellow"/>
        </w:rPr>
      </w:pP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  <w:highlight w:val="yellow"/>
        </w:rPr>
      </w:pP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  <w:highlight w:val="yellow"/>
        </w:rPr>
      </w:pP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  <w:highlight w:val="yellow"/>
        </w:rPr>
      </w:pP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  <w:highlight w:val="yellow"/>
        </w:rPr>
      </w:pP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  <w:highlight w:val="yellow"/>
        </w:rPr>
      </w:pP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  <w:highlight w:val="yellow"/>
        </w:rPr>
      </w:pP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  <w:highlight w:val="yellow"/>
        </w:rPr>
      </w:pP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  <w:highlight w:val="yellow"/>
        </w:rPr>
      </w:pP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  <w:highlight w:val="yellow"/>
        </w:rPr>
      </w:pP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  <w:highlight w:val="yellow"/>
        </w:rPr>
      </w:pP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  <w:highlight w:val="yellow"/>
        </w:rPr>
      </w:pP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  <w:highlight w:val="yellow"/>
        </w:rPr>
      </w:pP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  <w:highlight w:val="yellow"/>
        </w:rPr>
      </w:pP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  <w:highlight w:val="yellow"/>
        </w:rPr>
      </w:pP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  <w:highlight w:val="yellow"/>
        </w:rPr>
      </w:pP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  <w:highlight w:val="yellow"/>
        </w:rPr>
      </w:pP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  <w:highlight w:val="yellow"/>
        </w:rPr>
      </w:pP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  <w:highlight w:val="yellow"/>
        </w:rPr>
      </w:pP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  <w:highlight w:val="yellow"/>
        </w:rPr>
      </w:pPr>
    </w:p>
    <w:p w:rsidR="00150D1B" w:rsidRPr="00803C9A" w:rsidRDefault="00150D1B" w:rsidP="00150D1B">
      <w:pPr>
        <w:pStyle w:val="Ttulo1"/>
        <w:numPr>
          <w:ilvl w:val="0"/>
          <w:numId w:val="0"/>
        </w:numPr>
        <w:rPr>
          <w:b w:val="0"/>
          <w:highlight w:val="yellow"/>
        </w:rPr>
      </w:pPr>
    </w:p>
    <w:p w:rsidR="00150D1B" w:rsidRPr="00803C9A" w:rsidRDefault="00150D1B" w:rsidP="00150D1B">
      <w:pPr>
        <w:rPr>
          <w:b w:val="0"/>
          <w:highlight w:val="yellow"/>
        </w:rPr>
      </w:pPr>
    </w:p>
    <w:p w:rsidR="00150D1B" w:rsidRPr="00803C9A" w:rsidRDefault="00150D1B" w:rsidP="00150D1B">
      <w:pPr>
        <w:rPr>
          <w:b w:val="0"/>
          <w:highlight w:val="yellow"/>
        </w:rPr>
      </w:pPr>
    </w:p>
    <w:p w:rsidR="00150D1B" w:rsidRPr="00803C9A" w:rsidRDefault="00150D1B" w:rsidP="00150D1B">
      <w:pPr>
        <w:rPr>
          <w:b w:val="0"/>
          <w:highlight w:val="yellow"/>
        </w:rPr>
      </w:pPr>
    </w:p>
    <w:p w:rsidR="00150D1B" w:rsidRPr="00803C9A" w:rsidRDefault="00150D1B" w:rsidP="00150D1B">
      <w:pPr>
        <w:rPr>
          <w:b w:val="0"/>
          <w:highlight w:val="yellow"/>
        </w:rPr>
      </w:pP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Pr="00CC2E06" w:rsidRDefault="00150D1B" w:rsidP="00150D1B">
      <w:pPr>
        <w:pStyle w:val="Ttulo1"/>
        <w:numPr>
          <w:ilvl w:val="0"/>
          <w:numId w:val="0"/>
        </w:numPr>
        <w:ind w:left="360" w:hanging="360"/>
        <w:rPr>
          <w:color w:val="auto"/>
        </w:rPr>
      </w:pPr>
      <w:bookmarkStart w:id="15" w:name="_Toc481054900"/>
      <w:r w:rsidRPr="00CC2E06">
        <w:rPr>
          <w:color w:val="auto"/>
        </w:rPr>
        <w:lastRenderedPageBreak/>
        <w:t>INTRODUCCIÓN</w:t>
      </w:r>
      <w:bookmarkEnd w:id="15"/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  <w:r w:rsidRPr="00803C9A">
        <w:rPr>
          <w:rFonts w:ascii="Calibri" w:hAnsi="Calibri"/>
          <w:b w:val="0"/>
          <w:sz w:val="22"/>
          <w:szCs w:val="22"/>
        </w:rPr>
        <w:t>Para efectos de realizar un seguimiento a la gestión de la entidad, la Contadur</w:t>
      </w:r>
      <w:r>
        <w:rPr>
          <w:rFonts w:ascii="Calibri" w:hAnsi="Calibri"/>
          <w:b w:val="0"/>
          <w:sz w:val="22"/>
          <w:szCs w:val="22"/>
        </w:rPr>
        <w:t>í</w:t>
      </w:r>
      <w:r w:rsidRPr="00803C9A">
        <w:rPr>
          <w:rFonts w:ascii="Calibri" w:hAnsi="Calibri"/>
          <w:b w:val="0"/>
          <w:sz w:val="22"/>
          <w:szCs w:val="22"/>
        </w:rPr>
        <w:t xml:space="preserve">a General de la Nación (CGN) estableció una revisión trimestral del Plan Estratégico Institucional (PEI), que evalúa el avance tanto en lo estratégico como en lo operativo de los procesos: estratégicos, misionales, apoyo y de control y evaluación.   </w:t>
      </w:r>
      <w:r>
        <w:rPr>
          <w:rFonts w:ascii="Calibri" w:hAnsi="Calibri"/>
          <w:b w:val="0"/>
          <w:sz w:val="22"/>
          <w:szCs w:val="22"/>
        </w:rPr>
        <w:t>Esta información sirve de insumo</w:t>
      </w:r>
      <w:r w:rsidRPr="00803C9A">
        <w:rPr>
          <w:rFonts w:ascii="Calibri" w:hAnsi="Calibri"/>
          <w:b w:val="0"/>
          <w:sz w:val="22"/>
          <w:szCs w:val="22"/>
        </w:rPr>
        <w:t xml:space="preserve"> fundamental para facilitar la toma de decisiones y acciones de mejora pertinentes</w:t>
      </w:r>
      <w:r>
        <w:rPr>
          <w:rFonts w:ascii="Calibri" w:hAnsi="Calibri"/>
          <w:b w:val="0"/>
          <w:sz w:val="22"/>
          <w:szCs w:val="22"/>
        </w:rPr>
        <w:t>.</w:t>
      </w: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  <w:r w:rsidRPr="00803C9A">
        <w:rPr>
          <w:rFonts w:ascii="Calibri" w:hAnsi="Calibri"/>
          <w:b w:val="0"/>
          <w:sz w:val="22"/>
          <w:szCs w:val="22"/>
        </w:rPr>
        <w:t xml:space="preserve">Lo </w:t>
      </w:r>
      <w:r>
        <w:rPr>
          <w:rFonts w:ascii="Calibri" w:hAnsi="Calibri"/>
          <w:b w:val="0"/>
          <w:sz w:val="22"/>
          <w:szCs w:val="22"/>
        </w:rPr>
        <w:t xml:space="preserve">anterior </w:t>
      </w:r>
      <w:r w:rsidRPr="00803C9A">
        <w:rPr>
          <w:rFonts w:ascii="Calibri" w:hAnsi="Calibri"/>
          <w:b w:val="0"/>
          <w:sz w:val="22"/>
          <w:szCs w:val="22"/>
        </w:rPr>
        <w:t>permite medir el cumplimiento de los objetivos estratégicos, para el logro de la misión, la visión y la política de calidad; todo ello enmarcado  dentro del direccionamiento estratégico establecido para tal fin</w:t>
      </w:r>
      <w:r>
        <w:rPr>
          <w:rFonts w:ascii="Calibri" w:hAnsi="Calibri"/>
          <w:b w:val="0"/>
          <w:sz w:val="22"/>
          <w:szCs w:val="22"/>
        </w:rPr>
        <w:t>.</w:t>
      </w: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  <w:r w:rsidRPr="00803C9A">
        <w:rPr>
          <w:rFonts w:ascii="Calibri" w:hAnsi="Calibri"/>
          <w:b w:val="0"/>
          <w:sz w:val="22"/>
          <w:szCs w:val="22"/>
        </w:rPr>
        <w:t xml:space="preserve">Con el presente </w:t>
      </w:r>
      <w:r>
        <w:rPr>
          <w:rFonts w:ascii="Calibri" w:hAnsi="Calibri"/>
          <w:b w:val="0"/>
          <w:sz w:val="22"/>
          <w:szCs w:val="22"/>
        </w:rPr>
        <w:t xml:space="preserve">informe </w:t>
      </w:r>
      <w:r w:rsidRPr="00803C9A">
        <w:rPr>
          <w:rFonts w:ascii="Calibri" w:hAnsi="Calibri"/>
          <w:b w:val="0"/>
          <w:sz w:val="22"/>
          <w:szCs w:val="22"/>
        </w:rPr>
        <w:t>se realiza el seguimiento de los proyectos estratégicos suscritos en el PEI 2013 – 2018 y los avances a los planes de acción del año 201</w:t>
      </w:r>
      <w:r>
        <w:rPr>
          <w:rFonts w:ascii="Calibri" w:hAnsi="Calibri"/>
          <w:b w:val="0"/>
          <w:sz w:val="22"/>
          <w:szCs w:val="22"/>
        </w:rPr>
        <w:t>7</w:t>
      </w:r>
      <w:r w:rsidRPr="00803C9A">
        <w:rPr>
          <w:rFonts w:ascii="Calibri" w:hAnsi="Calibri"/>
          <w:b w:val="0"/>
          <w:sz w:val="22"/>
          <w:szCs w:val="22"/>
        </w:rPr>
        <w:t xml:space="preserve">, con las respectivas observaciones sobre el comportamiento. </w:t>
      </w:r>
      <w:r>
        <w:rPr>
          <w:rFonts w:ascii="Calibri" w:hAnsi="Calibri"/>
          <w:b w:val="0"/>
          <w:sz w:val="22"/>
          <w:szCs w:val="22"/>
        </w:rPr>
        <w:t>De igual manera</w:t>
      </w:r>
      <w:r w:rsidRPr="00803C9A">
        <w:rPr>
          <w:rFonts w:ascii="Calibri" w:hAnsi="Calibri"/>
          <w:b w:val="0"/>
          <w:sz w:val="22"/>
          <w:szCs w:val="22"/>
        </w:rPr>
        <w:t xml:space="preserve">, se evalúan los objetivos estratégicos de la entidad. Con respecto a las modificaciones presentadas en el periodo a evaluar se realiza un breve resumen sobre inclusiones, exclusiones o suspensiones de proyectos, actividades o indicadores. </w:t>
      </w: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Pr="00CC2E06" w:rsidRDefault="00150D1B" w:rsidP="00150D1B">
      <w:pPr>
        <w:pStyle w:val="Ttulo1"/>
        <w:numPr>
          <w:ilvl w:val="0"/>
          <w:numId w:val="0"/>
        </w:numPr>
        <w:ind w:left="360" w:hanging="360"/>
        <w:rPr>
          <w:rFonts w:cs="Arial"/>
          <w:bCs w:val="0"/>
          <w:color w:val="auto"/>
          <w:lang w:val="es-ES" w:eastAsia="es-ES"/>
        </w:rPr>
      </w:pPr>
      <w:bookmarkStart w:id="16" w:name="_Toc481054901"/>
      <w:r w:rsidRPr="00CC2E06">
        <w:rPr>
          <w:rFonts w:cs="Arial"/>
          <w:bCs w:val="0"/>
          <w:color w:val="auto"/>
          <w:lang w:val="es-ES" w:eastAsia="es-ES"/>
        </w:rPr>
        <w:t>METODOLOG</w:t>
      </w:r>
      <w:r>
        <w:rPr>
          <w:rFonts w:cs="Arial"/>
          <w:bCs w:val="0"/>
          <w:color w:val="auto"/>
          <w:lang w:val="es-ES" w:eastAsia="es-ES"/>
        </w:rPr>
        <w:t>Í</w:t>
      </w:r>
      <w:r w:rsidRPr="00CC2E06">
        <w:rPr>
          <w:rFonts w:cs="Arial"/>
          <w:bCs w:val="0"/>
          <w:color w:val="auto"/>
          <w:lang w:val="es-ES" w:eastAsia="es-ES"/>
        </w:rPr>
        <w:t>A</w:t>
      </w:r>
      <w:bookmarkEnd w:id="16"/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  <w:r w:rsidRPr="00803C9A">
        <w:rPr>
          <w:rFonts w:ascii="Calibri" w:hAnsi="Calibri"/>
          <w:b w:val="0"/>
          <w:sz w:val="22"/>
          <w:szCs w:val="22"/>
        </w:rPr>
        <w:t xml:space="preserve">El seguimiento </w:t>
      </w:r>
      <w:r>
        <w:rPr>
          <w:rFonts w:ascii="Calibri" w:hAnsi="Calibri"/>
          <w:b w:val="0"/>
          <w:sz w:val="22"/>
          <w:szCs w:val="22"/>
        </w:rPr>
        <w:t>a la gestión de la vigencia 2017</w:t>
      </w:r>
      <w:r w:rsidRPr="00803C9A">
        <w:rPr>
          <w:rFonts w:ascii="Calibri" w:hAnsi="Calibri"/>
          <w:b w:val="0"/>
          <w:sz w:val="22"/>
          <w:szCs w:val="22"/>
        </w:rPr>
        <w:t xml:space="preserve"> se realiza trimestralmente mediant</w:t>
      </w:r>
      <w:r>
        <w:rPr>
          <w:rFonts w:ascii="Calibri" w:hAnsi="Calibri"/>
          <w:b w:val="0"/>
          <w:sz w:val="22"/>
          <w:szCs w:val="22"/>
        </w:rPr>
        <w:t xml:space="preserve">e la revisión del cumplimiento </w:t>
      </w:r>
      <w:r w:rsidRPr="00803C9A">
        <w:rPr>
          <w:rFonts w:ascii="Calibri" w:hAnsi="Calibri"/>
          <w:b w:val="0"/>
          <w:sz w:val="22"/>
          <w:szCs w:val="22"/>
        </w:rPr>
        <w:t>de las actividades establecidas para cada uno de los p</w:t>
      </w:r>
      <w:r>
        <w:rPr>
          <w:rFonts w:ascii="Calibri" w:hAnsi="Calibri"/>
          <w:b w:val="0"/>
          <w:sz w:val="22"/>
          <w:szCs w:val="22"/>
        </w:rPr>
        <w:t>lanes de acción</w:t>
      </w:r>
      <w:r w:rsidRPr="00803C9A">
        <w:rPr>
          <w:rFonts w:ascii="Calibri" w:hAnsi="Calibri"/>
          <w:b w:val="0"/>
          <w:sz w:val="22"/>
          <w:szCs w:val="22"/>
        </w:rPr>
        <w:t xml:space="preserve"> estratégicos</w:t>
      </w:r>
      <w:r>
        <w:rPr>
          <w:rFonts w:ascii="Calibri" w:hAnsi="Calibri"/>
          <w:b w:val="0"/>
          <w:sz w:val="22"/>
          <w:szCs w:val="22"/>
        </w:rPr>
        <w:t xml:space="preserve"> y operativos, </w:t>
      </w:r>
      <w:r w:rsidRPr="00803C9A">
        <w:rPr>
          <w:rFonts w:ascii="Calibri" w:hAnsi="Calibri"/>
          <w:b w:val="0"/>
          <w:sz w:val="22"/>
          <w:szCs w:val="22"/>
        </w:rPr>
        <w:t xml:space="preserve">que comprenden el </w:t>
      </w:r>
      <w:r>
        <w:rPr>
          <w:rFonts w:ascii="Calibri" w:hAnsi="Calibri"/>
          <w:b w:val="0"/>
          <w:sz w:val="22"/>
          <w:szCs w:val="22"/>
        </w:rPr>
        <w:t>P</w:t>
      </w:r>
      <w:r w:rsidRPr="00803C9A">
        <w:rPr>
          <w:rFonts w:ascii="Calibri" w:hAnsi="Calibri"/>
          <w:b w:val="0"/>
          <w:sz w:val="22"/>
          <w:szCs w:val="22"/>
        </w:rPr>
        <w:t>la</w:t>
      </w:r>
      <w:r>
        <w:rPr>
          <w:rFonts w:ascii="Calibri" w:hAnsi="Calibri"/>
          <w:b w:val="0"/>
          <w:sz w:val="22"/>
          <w:szCs w:val="22"/>
        </w:rPr>
        <w:t>n Estratégico I</w:t>
      </w:r>
      <w:r w:rsidRPr="00803C9A">
        <w:rPr>
          <w:rFonts w:ascii="Calibri" w:hAnsi="Calibri"/>
          <w:b w:val="0"/>
          <w:sz w:val="22"/>
          <w:szCs w:val="22"/>
        </w:rPr>
        <w:t>nstitucional 2013-2018</w:t>
      </w:r>
      <w:r>
        <w:rPr>
          <w:rFonts w:ascii="Calibri" w:hAnsi="Calibri"/>
          <w:b w:val="0"/>
          <w:sz w:val="22"/>
          <w:szCs w:val="22"/>
        </w:rPr>
        <w:t>, al igual que el</w:t>
      </w:r>
      <w:r w:rsidRPr="00803C9A">
        <w:rPr>
          <w:rFonts w:ascii="Calibri" w:hAnsi="Calibri"/>
          <w:b w:val="0"/>
          <w:sz w:val="22"/>
          <w:szCs w:val="22"/>
        </w:rPr>
        <w:t xml:space="preserve"> comportamiento de los indicadores de gestión</w:t>
      </w:r>
      <w:r>
        <w:rPr>
          <w:rFonts w:ascii="Calibri" w:hAnsi="Calibri"/>
          <w:b w:val="0"/>
          <w:sz w:val="22"/>
          <w:szCs w:val="22"/>
        </w:rPr>
        <w:t>.</w:t>
      </w: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Pr="002A6ECC" w:rsidRDefault="00150D1B" w:rsidP="00150D1B">
      <w:pPr>
        <w:pStyle w:val="Ttulo1"/>
        <w:numPr>
          <w:ilvl w:val="0"/>
          <w:numId w:val="1"/>
        </w:numPr>
        <w:rPr>
          <w:color w:val="auto"/>
        </w:rPr>
      </w:pPr>
      <w:bookmarkStart w:id="17" w:name="_Toc481054902"/>
      <w:r w:rsidRPr="002A6ECC">
        <w:rPr>
          <w:color w:val="auto"/>
        </w:rPr>
        <w:lastRenderedPageBreak/>
        <w:t xml:space="preserve">SEGUIMIENTO A LOS </w:t>
      </w:r>
      <w:r w:rsidRPr="002A6ECC">
        <w:rPr>
          <w:color w:val="auto"/>
          <w:lang w:val="es-CO"/>
        </w:rPr>
        <w:t>PLANE</w:t>
      </w:r>
      <w:r w:rsidRPr="002A6ECC">
        <w:rPr>
          <w:color w:val="auto"/>
        </w:rPr>
        <w:t>S ESTRATÉGICOS</w:t>
      </w:r>
      <w:r>
        <w:rPr>
          <w:color w:val="auto"/>
          <w:lang w:val="es-ES"/>
        </w:rPr>
        <w:t xml:space="preserve"> Y PROYECTOS DE INVERSIÓN</w:t>
      </w:r>
      <w:bookmarkEnd w:id="17"/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En la CGN los planes estratégicos pesan el 55.00% del total del Plan Estratégico Institucional –PEI-Vigencia 2016, el porcentaje restante (45.00%) corresponde a los Planes de Acción Operativos.</w:t>
      </w: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El cumplimiento acumulado al 31 de Marzo de</w:t>
      </w:r>
      <w:r w:rsidRPr="00803C9A">
        <w:rPr>
          <w:rFonts w:ascii="Calibri" w:hAnsi="Calibri"/>
          <w:b w:val="0"/>
          <w:sz w:val="22"/>
          <w:szCs w:val="22"/>
        </w:rPr>
        <w:t xml:space="preserve"> 201</w:t>
      </w:r>
      <w:r>
        <w:rPr>
          <w:rFonts w:ascii="Calibri" w:hAnsi="Calibri"/>
          <w:b w:val="0"/>
          <w:sz w:val="22"/>
          <w:szCs w:val="22"/>
        </w:rPr>
        <w:t>7 de los Planes que conforman el Plan de Acción E</w:t>
      </w:r>
      <w:r w:rsidRPr="00803C9A">
        <w:rPr>
          <w:rFonts w:ascii="Calibri" w:hAnsi="Calibri"/>
          <w:b w:val="0"/>
          <w:sz w:val="22"/>
          <w:szCs w:val="22"/>
        </w:rPr>
        <w:t xml:space="preserve">stratégico, fue del </w:t>
      </w:r>
      <w:r>
        <w:rPr>
          <w:rFonts w:ascii="Calibri" w:hAnsi="Calibri"/>
          <w:b w:val="0"/>
          <w:sz w:val="22"/>
          <w:szCs w:val="22"/>
        </w:rPr>
        <w:t>19.14</w:t>
      </w:r>
      <w:r w:rsidRPr="000C64C1">
        <w:rPr>
          <w:rFonts w:ascii="Calibri" w:hAnsi="Calibri"/>
          <w:b w:val="0"/>
          <w:sz w:val="22"/>
          <w:szCs w:val="22"/>
        </w:rPr>
        <w:t>%</w:t>
      </w:r>
      <w:r w:rsidRPr="00803C9A">
        <w:rPr>
          <w:rFonts w:ascii="Calibri" w:hAnsi="Calibri"/>
          <w:b w:val="0"/>
          <w:color w:val="FF0000"/>
          <w:sz w:val="22"/>
          <w:szCs w:val="22"/>
        </w:rPr>
        <w:t xml:space="preserve"> </w:t>
      </w:r>
      <w:r w:rsidRPr="00803C9A">
        <w:rPr>
          <w:rFonts w:ascii="Calibri" w:hAnsi="Calibri"/>
          <w:b w:val="0"/>
          <w:sz w:val="22"/>
          <w:szCs w:val="22"/>
        </w:rPr>
        <w:t>reflejando un</w:t>
      </w:r>
      <w:r>
        <w:rPr>
          <w:rFonts w:ascii="Calibri" w:hAnsi="Calibri"/>
          <w:b w:val="0"/>
          <w:sz w:val="22"/>
          <w:szCs w:val="22"/>
        </w:rPr>
        <w:t xml:space="preserve">  buen </w:t>
      </w:r>
      <w:r w:rsidRPr="00803C9A">
        <w:rPr>
          <w:rFonts w:ascii="Calibri" w:hAnsi="Calibri"/>
          <w:b w:val="0"/>
          <w:sz w:val="22"/>
          <w:szCs w:val="22"/>
        </w:rPr>
        <w:t>desempeño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803C9A">
        <w:rPr>
          <w:rFonts w:ascii="Calibri" w:hAnsi="Calibri"/>
          <w:b w:val="0"/>
          <w:sz w:val="22"/>
          <w:szCs w:val="22"/>
        </w:rPr>
        <w:t xml:space="preserve"> en el logro de los objetivos estratégicos de la CGN</w:t>
      </w:r>
      <w:r>
        <w:rPr>
          <w:rFonts w:ascii="Calibri" w:hAnsi="Calibri"/>
          <w:b w:val="0"/>
          <w:sz w:val="22"/>
          <w:szCs w:val="22"/>
        </w:rPr>
        <w:t xml:space="preserve"> respecto del 25.00% programado para este periodo. El avance se refleja en el Gráfico</w:t>
      </w:r>
      <w:r w:rsidRPr="00803C9A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 xml:space="preserve">No, </w:t>
      </w:r>
      <w:r w:rsidRPr="00803C9A">
        <w:rPr>
          <w:rFonts w:ascii="Calibri" w:hAnsi="Calibri"/>
          <w:b w:val="0"/>
          <w:sz w:val="22"/>
          <w:szCs w:val="22"/>
        </w:rPr>
        <w:t>1</w:t>
      </w:r>
      <w:r>
        <w:rPr>
          <w:rFonts w:ascii="Calibri" w:hAnsi="Calibri"/>
          <w:b w:val="0"/>
          <w:sz w:val="22"/>
          <w:szCs w:val="22"/>
        </w:rPr>
        <w:t xml:space="preserve"> y Tabla No.1</w:t>
      </w: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Pr="002A6ECC" w:rsidRDefault="00150D1B" w:rsidP="00150D1B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Gráfico No.</w:t>
      </w:r>
      <w:r w:rsidRPr="002A6ECC">
        <w:rPr>
          <w:rFonts w:ascii="Calibri" w:hAnsi="Calibri"/>
          <w:sz w:val="22"/>
          <w:szCs w:val="22"/>
        </w:rPr>
        <w:t xml:space="preserve"> 1 </w:t>
      </w:r>
      <w:r>
        <w:rPr>
          <w:rFonts w:ascii="Calibri" w:hAnsi="Calibri"/>
          <w:sz w:val="22"/>
          <w:szCs w:val="22"/>
        </w:rPr>
        <w:t xml:space="preserve">Avance de los </w:t>
      </w:r>
      <w:r w:rsidRPr="002A6ECC">
        <w:rPr>
          <w:rFonts w:ascii="Calibri" w:hAnsi="Calibri"/>
          <w:sz w:val="22"/>
          <w:szCs w:val="22"/>
        </w:rPr>
        <w:t xml:space="preserve">Planes Estratégicos a </w:t>
      </w:r>
      <w:r>
        <w:rPr>
          <w:rFonts w:ascii="Calibri" w:hAnsi="Calibri"/>
          <w:sz w:val="22"/>
          <w:szCs w:val="22"/>
        </w:rPr>
        <w:t>31 de Marzo de</w:t>
      </w:r>
      <w:r w:rsidRPr="002A6ECC">
        <w:rPr>
          <w:rFonts w:ascii="Calibri" w:hAnsi="Calibri"/>
          <w:sz w:val="22"/>
          <w:szCs w:val="22"/>
        </w:rPr>
        <w:t xml:space="preserve"> 201</w:t>
      </w:r>
      <w:r>
        <w:rPr>
          <w:rFonts w:ascii="Calibri" w:hAnsi="Calibri"/>
          <w:sz w:val="22"/>
          <w:szCs w:val="22"/>
        </w:rPr>
        <w:t>7</w:t>
      </w:r>
    </w:p>
    <w:p w:rsidR="00150D1B" w:rsidRPr="00803C9A" w:rsidRDefault="00150D1B" w:rsidP="00150D1B">
      <w:pPr>
        <w:jc w:val="center"/>
        <w:rPr>
          <w:rFonts w:ascii="Calibri" w:hAnsi="Calibri"/>
          <w:b w:val="0"/>
          <w:sz w:val="22"/>
          <w:szCs w:val="22"/>
        </w:rPr>
      </w:pPr>
    </w:p>
    <w:p w:rsidR="00150D1B" w:rsidRPr="00803C9A" w:rsidRDefault="00150D1B" w:rsidP="00150D1B">
      <w:pPr>
        <w:jc w:val="center"/>
        <w:rPr>
          <w:rFonts w:ascii="Calibri" w:hAnsi="Calibri"/>
          <w:b w:val="0"/>
          <w:sz w:val="22"/>
          <w:szCs w:val="22"/>
        </w:rPr>
      </w:pPr>
      <w:r>
        <w:rPr>
          <w:noProof/>
          <w:lang w:val="es-CO" w:eastAsia="es-CO"/>
        </w:rPr>
        <w:drawing>
          <wp:inline distT="0" distB="0" distL="0" distR="0">
            <wp:extent cx="5629275" cy="3771900"/>
            <wp:effectExtent l="0" t="0" r="0" b="0"/>
            <wp:docPr id="5" name="Gráfico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50D1B" w:rsidRPr="00803C9A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center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center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center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center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center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center"/>
        <w:rPr>
          <w:rFonts w:ascii="Calibri" w:hAnsi="Calibri"/>
          <w:b w:val="0"/>
          <w:sz w:val="22"/>
          <w:szCs w:val="22"/>
        </w:rPr>
      </w:pPr>
      <w:r w:rsidRPr="00924C7C">
        <w:rPr>
          <w:rFonts w:ascii="Calibri" w:hAnsi="Calibri"/>
          <w:sz w:val="22"/>
          <w:szCs w:val="22"/>
        </w:rPr>
        <w:lastRenderedPageBreak/>
        <w:t xml:space="preserve">Tabla 1 Comportamiento de los Planes de Acción Estratégicos </w:t>
      </w:r>
      <w:r>
        <w:rPr>
          <w:rFonts w:ascii="Calibri" w:hAnsi="Calibri"/>
          <w:sz w:val="22"/>
          <w:szCs w:val="22"/>
        </w:rPr>
        <w:t>al 31 Marzo de 2017</w:t>
      </w:r>
    </w:p>
    <w:tbl>
      <w:tblPr>
        <w:tblW w:w="9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1398"/>
        <w:gridCol w:w="1180"/>
        <w:gridCol w:w="1200"/>
        <w:gridCol w:w="1400"/>
      </w:tblGrid>
      <w:tr w:rsidR="00150D1B" w:rsidRPr="00A05B73" w:rsidTr="00F802C9">
        <w:trPr>
          <w:trHeight w:val="900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  <w:t>PLANES ESTRATÉGICOS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  <w:t>OBJETIVO ESTRATÉGICO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  <w:t>EJECUCIÓN A MARZO 31 /17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  <w:t>PESO DEL PLAN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  <w:t>AVANCE</w:t>
            </w:r>
          </w:p>
        </w:tc>
      </w:tr>
      <w:tr w:rsidR="00150D1B" w:rsidRPr="00A05B73" w:rsidTr="00F802C9">
        <w:trPr>
          <w:trHeight w:val="81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  <w:t xml:space="preserve">SOSTENIBILIDAD DE LA REGULACIÓN CONTABLE PÚBLICA EN CONVERGENCIA CON ESTÁNDARES INTERNACIONALES DE INFORMACIÓN FINANCIERA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12,82%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14,00%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1,79%</w:t>
            </w:r>
          </w:p>
        </w:tc>
      </w:tr>
      <w:tr w:rsidR="00150D1B" w:rsidRPr="00A05B73" w:rsidTr="00F802C9">
        <w:trPr>
          <w:trHeight w:val="69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  <w:t>ADAPTACIÓN FINANCIERA Y ESTADÍSTICA A LOS NUEVOS MARCOS NORMATIVOS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25,00%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6,06%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1,52%</w:t>
            </w:r>
          </w:p>
        </w:tc>
      </w:tr>
      <w:tr w:rsidR="00150D1B" w:rsidRPr="00A05B73" w:rsidTr="00F802C9">
        <w:trPr>
          <w:trHeight w:val="67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  <w:t>BALANCE GENERAL CONSOLIDADO DE LA NACIÓN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5,00%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4,67%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0,23%</w:t>
            </w:r>
          </w:p>
        </w:tc>
      </w:tr>
      <w:tr w:rsidR="00150D1B" w:rsidRPr="00A05B73" w:rsidTr="00F802C9">
        <w:trPr>
          <w:trHeight w:val="97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  <w:t>INFORME CONSOLIDADO DE CONTROL INTERNO CONTABLE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50,00%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1,17%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0,59%</w:t>
            </w:r>
          </w:p>
        </w:tc>
      </w:tr>
      <w:tr w:rsidR="00150D1B" w:rsidRPr="00A05B73" w:rsidTr="00F802C9">
        <w:trPr>
          <w:trHeight w:val="9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  <w:t>CUESTIONARIO ANUAL DE ESTADÍSTICAS DE LAS FINANZAS PUBLICAS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25,00%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1,87%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0,47%</w:t>
            </w:r>
          </w:p>
        </w:tc>
      </w:tr>
      <w:tr w:rsidR="00150D1B" w:rsidRPr="00A05B73" w:rsidTr="00F802C9">
        <w:trPr>
          <w:trHeight w:val="60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  <w:t>INFORMES POR DEPARTAMENTOS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0,00%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2,33%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0,00%</w:t>
            </w:r>
          </w:p>
        </w:tc>
      </w:tr>
      <w:tr w:rsidR="00150D1B" w:rsidRPr="00A05B73" w:rsidTr="00F802C9">
        <w:trPr>
          <w:trHeight w:val="46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  <w:t>SERIES HISTÓRICAS 2007-2016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20,00%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0,70%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0,14%</w:t>
            </w:r>
          </w:p>
        </w:tc>
      </w:tr>
      <w:tr w:rsidR="00150D1B" w:rsidRPr="00A05B73" w:rsidTr="00F802C9">
        <w:trPr>
          <w:trHeight w:val="45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  <w:t>BOLETIN DEUDORES MOROSOS DEL ESTADO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50,00%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1,40%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0,70%</w:t>
            </w:r>
          </w:p>
        </w:tc>
      </w:tr>
      <w:tr w:rsidR="00150D1B" w:rsidRPr="00A05B73" w:rsidTr="00F802C9">
        <w:trPr>
          <w:trHeight w:val="48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  <w:t>MEJORAMIENTO DE LA CALIDAD DE LA INFORMACIÓN CONTABLE P</w:t>
            </w:r>
            <w:r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  <w:t>Ú</w:t>
            </w:r>
            <w:r w:rsidRPr="00A05B73"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  <w:t>BLICA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sz w:val="24"/>
                <w:szCs w:val="24"/>
                <w:lang w:val="es-CO" w:eastAsia="es-CO"/>
              </w:rPr>
              <w:t>20,76%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14,00%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2,91%</w:t>
            </w:r>
          </w:p>
        </w:tc>
      </w:tr>
      <w:tr w:rsidR="00150D1B" w:rsidRPr="00A05B73" w:rsidTr="00F802C9">
        <w:trPr>
          <w:trHeight w:val="79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  <w:t>FORTALECIMIENTO DE LOS SISTEMAS DE GESTIÓN DE LA CGN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18,75%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3,00%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0,56%</w:t>
            </w:r>
          </w:p>
        </w:tc>
      </w:tr>
      <w:tr w:rsidR="00150D1B" w:rsidRPr="00A05B73" w:rsidTr="00F802C9">
        <w:trPr>
          <w:trHeight w:val="49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  <w:t>SISTEMA DE GESTIÓN AMBIENTAL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16,67%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0,38%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0,06%</w:t>
            </w:r>
          </w:p>
        </w:tc>
      </w:tr>
      <w:tr w:rsidR="00150D1B" w:rsidRPr="00A05B73" w:rsidTr="00F802C9">
        <w:trPr>
          <w:trHeight w:val="82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  <w:t>CAPACITACIÓN, DIVULGACIÓN Y ASISTENCIA TECNICA EN EL MODELO COLOMBIANO DE REGULACIÓN CONTABLE PÚBLICA.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25,00%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3,00%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0,75%</w:t>
            </w:r>
          </w:p>
        </w:tc>
      </w:tr>
      <w:tr w:rsidR="00150D1B" w:rsidRPr="00A05B73" w:rsidTr="00F802C9">
        <w:trPr>
          <w:trHeight w:val="82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  <w:t>FORTALECIMIENTO DE LOS SISTEMAS DE INFORMACIÓN Y CONSOLIDACIÓN CONTABLE NACIONAL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25,00%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3,24%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0,81%</w:t>
            </w:r>
          </w:p>
        </w:tc>
      </w:tr>
      <w:tr w:rsidR="00150D1B" w:rsidRPr="00A05B73" w:rsidTr="00F802C9">
        <w:trPr>
          <w:trHeight w:val="31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0D1B" w:rsidRPr="00A05B73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</w:tr>
      <w:tr w:rsidR="00150D1B" w:rsidRPr="00A05B73" w:rsidTr="00F802C9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Cs/>
                <w:color w:val="000000"/>
                <w:sz w:val="20"/>
                <w:szCs w:val="20"/>
                <w:lang w:val="es-CO" w:eastAsia="es-CO"/>
              </w:rPr>
            </w:pPr>
            <w:r w:rsidRPr="00A05B73">
              <w:rPr>
                <w:rFonts w:ascii="Calibri" w:hAnsi="Calibri" w:cs="Times New Roman"/>
                <w:bCs/>
                <w:color w:val="000000"/>
                <w:sz w:val="20"/>
                <w:szCs w:val="20"/>
                <w:lang w:val="es-CO" w:eastAsia="es-CO"/>
              </w:rPr>
              <w:t>TOTAL PLAN DE ACCIÓN ESTRATÉGICO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  <w:t>19,14%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  <w:t>55</w:t>
            </w:r>
            <w:r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  <w:t>.00</w:t>
            </w:r>
            <w:r w:rsidRPr="00A05B73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  <w:t>10,53%</w:t>
            </w:r>
          </w:p>
        </w:tc>
      </w:tr>
    </w:tbl>
    <w:p w:rsidR="00150D1B" w:rsidRDefault="00150D1B" w:rsidP="00150D1B">
      <w:pPr>
        <w:jc w:val="center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both"/>
        <w:rPr>
          <w:rFonts w:ascii="Calibri" w:hAnsi="Calibri" w:cs="Times New Roman"/>
          <w:b w:val="0"/>
          <w:color w:val="00000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Todos los Planes estratégicos se vienen desarrollando normalmente según sus cronogramas internos de trabajo.  </w:t>
      </w:r>
    </w:p>
    <w:p w:rsidR="00150D1B" w:rsidRDefault="00150D1B" w:rsidP="00150D1B">
      <w:pPr>
        <w:pStyle w:val="ListParagraph"/>
        <w:ind w:left="0"/>
        <w:jc w:val="both"/>
        <w:rPr>
          <w:rFonts w:ascii="Calibri" w:hAnsi="Calibri" w:cs="Times New Roman"/>
          <w:b w:val="0"/>
          <w:color w:val="000000"/>
          <w:sz w:val="22"/>
          <w:szCs w:val="22"/>
        </w:rPr>
      </w:pPr>
    </w:p>
    <w:p w:rsidR="00150D1B" w:rsidRDefault="00150D1B" w:rsidP="00150D1B">
      <w:pPr>
        <w:pStyle w:val="Prrafodelista"/>
        <w:ind w:left="0"/>
        <w:jc w:val="both"/>
        <w:rPr>
          <w:rFonts w:ascii="Calibri" w:hAnsi="Calibri" w:cs="Times New Roman"/>
          <w:b w:val="0"/>
          <w:color w:val="00000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lastRenderedPageBreak/>
        <w:t>Por otro lado, la ejecución presupuestal de los proyectos de inversión de la CGN presenta un avance, según los valores ya comprometidos, del 42.79% (ver tabla 2).</w:t>
      </w:r>
    </w:p>
    <w:tbl>
      <w:tblPr>
        <w:tblW w:w="101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6"/>
        <w:gridCol w:w="285"/>
      </w:tblGrid>
      <w:tr w:rsidR="00150D1B" w:rsidRPr="008F4D0E" w:rsidTr="00F802C9">
        <w:trPr>
          <w:gridAfter w:val="1"/>
          <w:wAfter w:w="285" w:type="dxa"/>
          <w:trHeight w:val="615"/>
        </w:trPr>
        <w:tc>
          <w:tcPr>
            <w:tcW w:w="9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D1B" w:rsidRPr="007E6587" w:rsidRDefault="00150D1B" w:rsidP="00F802C9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es-CO"/>
              </w:rPr>
            </w:pPr>
          </w:p>
        </w:tc>
      </w:tr>
      <w:tr w:rsidR="00150D1B" w:rsidRPr="00600E64" w:rsidTr="00F802C9">
        <w:trPr>
          <w:trHeight w:val="315"/>
        </w:trPr>
        <w:tc>
          <w:tcPr>
            <w:tcW w:w="10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D1B" w:rsidRPr="00600E64" w:rsidRDefault="00150D1B" w:rsidP="00F802C9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CO" w:eastAsia="es-CO"/>
              </w:rPr>
              <w:t>Tabla No.2 Ejecución presupuestal Proyectos de Inversión al 31 de Marzo de 2017</w:t>
            </w:r>
          </w:p>
        </w:tc>
      </w:tr>
    </w:tbl>
    <w:p w:rsidR="00150D1B" w:rsidRDefault="00150D1B" w:rsidP="00150D1B">
      <w:pPr>
        <w:pStyle w:val="Prrafodelista"/>
        <w:ind w:left="0"/>
        <w:jc w:val="both"/>
        <w:rPr>
          <w:rFonts w:ascii="Calibri" w:hAnsi="Calibri"/>
          <w:b w:val="0"/>
          <w:sz w:val="22"/>
          <w:szCs w:val="22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1984"/>
        <w:gridCol w:w="1985"/>
        <w:gridCol w:w="1275"/>
      </w:tblGrid>
      <w:tr w:rsidR="00150D1B" w:rsidRPr="007E778F" w:rsidTr="00F802C9">
        <w:trPr>
          <w:trHeight w:val="9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50D1B" w:rsidRPr="007E778F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7E778F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NOMBRE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50D1B" w:rsidRPr="007E778F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7E778F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V</w:t>
            </w:r>
            <w: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 xml:space="preserve">ALOR </w:t>
            </w:r>
            <w:r w:rsidRPr="007E778F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ANUAL</w:t>
            </w:r>
            <w: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 xml:space="preserve"> PROGRAMADO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50D1B" w:rsidRPr="007E778F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7E778F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V</w:t>
            </w:r>
            <w: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ALO</w:t>
            </w:r>
            <w:r w:rsidRPr="007E778F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R</w:t>
            </w:r>
            <w: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7E778F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COMPROMETIDO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50D1B" w:rsidRPr="007E778F" w:rsidRDefault="00150D1B" w:rsidP="00F802C9">
            <w:pPr>
              <w:jc w:val="center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7E778F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%</w:t>
            </w:r>
            <w: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7E778F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EJECUCION</w:t>
            </w:r>
          </w:p>
        </w:tc>
      </w:tr>
      <w:tr w:rsidR="00150D1B" w:rsidRPr="007E778F" w:rsidTr="00F802C9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7E778F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7E778F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SOSTENIBILIDAD DE LA REGULACIÓN CONTABLE PÚBLICA EN CONVERGENCIA CON ESTÁNDARES INTERNACIONALES DE INFORMACIÓN FINANCIERA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7E778F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7E778F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$ 1.650.000.000,00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7E778F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7E778F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$ 1.240.504.834,00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7E778F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7E778F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75,18%</w:t>
            </w:r>
          </w:p>
        </w:tc>
      </w:tr>
      <w:tr w:rsidR="00150D1B" w:rsidRPr="007E778F" w:rsidTr="00F802C9">
        <w:trPr>
          <w:trHeight w:val="8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7E778F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7E778F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ADAPTACIÓN FINANCIERA Y ESTADÍSTICA A LOS NUEVOS MARCOS NORMATIVOS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7E778F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7E778F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$ 500.000.000,00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7E778F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7E778F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$ 402.769.999,00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7E778F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7E778F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80,55%</w:t>
            </w:r>
          </w:p>
        </w:tc>
      </w:tr>
      <w:tr w:rsidR="00150D1B" w:rsidRPr="007E778F" w:rsidTr="00F802C9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7E778F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7E778F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FORTALECIMIENTO SISTEMAS DE GESTION  DE LA CGN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7E778F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7E778F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$ 500.000.000,00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7E778F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7E778F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$ 344.353.332,00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7E778F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7E778F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68,87%</w:t>
            </w:r>
          </w:p>
        </w:tc>
      </w:tr>
      <w:tr w:rsidR="00150D1B" w:rsidRPr="007E778F" w:rsidTr="00F802C9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7E778F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7E778F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CAPACITACION, DIVULGACIÓN Y ASISTENCIA TÉCNICA EN EL MODELO COLOMBIANO DE REGULACIÓN CONTABLE PÚBLICA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7E778F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7E778F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$ 4.800.000.000,00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D1B" w:rsidRPr="007E778F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7E778F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 xml:space="preserve">$ 191.076.244,00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7E778F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7E778F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3,98%</w:t>
            </w:r>
          </w:p>
        </w:tc>
      </w:tr>
      <w:tr w:rsidR="00150D1B" w:rsidRPr="007E778F" w:rsidTr="00F802C9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7E778F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7E778F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FORTALECIMIENTO DE LOS SISTEMAS DE INFORMACIÓN Y CONSOLIDACIÓN CONTABLE NACIONAL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7E778F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7E778F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$ 4.500.000.000,00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7E778F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7E778F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$ 2.849.631.381,00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7E778F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7E778F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63,33%</w:t>
            </w:r>
          </w:p>
        </w:tc>
      </w:tr>
      <w:tr w:rsidR="00150D1B" w:rsidRPr="007E778F" w:rsidTr="00F802C9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7E778F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</w:pPr>
            <w:r w:rsidRPr="007E778F">
              <w:rPr>
                <w:rFonts w:ascii="Calibri" w:hAnsi="Calibri" w:cs="Times New Roman"/>
                <w:b w:val="0"/>
                <w:color w:val="000000"/>
                <w:sz w:val="24"/>
                <w:szCs w:val="24"/>
                <w:lang w:val="es-CO" w:eastAsia="es-CO"/>
              </w:rPr>
              <w:t>FORTALECIMIENTO DE LOS SISTEMAS DE GESTIÓN DOCUMENTAL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7E778F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7E778F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$ 150.000.000,00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7E778F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7E778F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$ 149.585.333,00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7E778F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7E778F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99,72%</w:t>
            </w:r>
          </w:p>
        </w:tc>
      </w:tr>
      <w:tr w:rsidR="00150D1B" w:rsidRPr="007E778F" w:rsidTr="00F802C9">
        <w:trPr>
          <w:trHeight w:val="4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150D1B" w:rsidRPr="007E778F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7E778F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TOTAL EJECUCI</w:t>
            </w:r>
            <w: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Ó</w:t>
            </w:r>
            <w:r w:rsidRPr="007E778F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150D1B" w:rsidRPr="007E778F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7E778F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$ 12.100.000.000,00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150D1B" w:rsidRPr="007E778F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7E778F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$ 5.177.921.123,00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150D1B" w:rsidRPr="007E778F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7E778F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42,79%</w:t>
            </w:r>
          </w:p>
        </w:tc>
      </w:tr>
    </w:tbl>
    <w:p w:rsidR="00150D1B" w:rsidRDefault="00150D1B" w:rsidP="00150D1B">
      <w:pPr>
        <w:pStyle w:val="Prrafodelista"/>
        <w:ind w:left="0"/>
        <w:jc w:val="both"/>
        <w:rPr>
          <w:rFonts w:ascii="Calibri" w:hAnsi="Calibri"/>
          <w:b w:val="0"/>
          <w:sz w:val="22"/>
          <w:szCs w:val="22"/>
        </w:rPr>
      </w:pPr>
    </w:p>
    <w:p w:rsidR="00150D1B" w:rsidRPr="00AA37FB" w:rsidRDefault="00150D1B" w:rsidP="00150D1B">
      <w:pPr>
        <w:pStyle w:val="Ttulo1"/>
        <w:numPr>
          <w:ilvl w:val="0"/>
          <w:numId w:val="1"/>
        </w:numPr>
        <w:rPr>
          <w:color w:val="000000"/>
          <w:lang w:val="es-CL"/>
        </w:rPr>
      </w:pPr>
      <w:bookmarkStart w:id="18" w:name="_Toc481054903"/>
      <w:r w:rsidRPr="00AA37FB">
        <w:rPr>
          <w:color w:val="000000"/>
          <w:lang w:val="es-CL"/>
        </w:rPr>
        <w:t>SEGUIMIENTO A PLANES DE ACCI</w:t>
      </w:r>
      <w:r>
        <w:rPr>
          <w:color w:val="000000"/>
          <w:lang w:val="es-CL"/>
        </w:rPr>
        <w:t>Ó</w:t>
      </w:r>
      <w:r w:rsidRPr="00AA37FB">
        <w:rPr>
          <w:color w:val="000000"/>
          <w:lang w:val="es-CL"/>
        </w:rPr>
        <w:t>N OPERATIVOS DE LA CGN</w:t>
      </w:r>
      <w:bookmarkEnd w:id="18"/>
    </w:p>
    <w:p w:rsidR="00150D1B" w:rsidRPr="00CF1BF0" w:rsidRDefault="00150D1B" w:rsidP="00150D1B">
      <w:pPr>
        <w:rPr>
          <w:rFonts w:ascii="Calibri" w:hAnsi="Calibri"/>
          <w:b w:val="0"/>
          <w:sz w:val="22"/>
          <w:szCs w:val="22"/>
          <w:lang w:val="es-CL"/>
        </w:rPr>
      </w:pPr>
    </w:p>
    <w:p w:rsidR="00150D1B" w:rsidRDefault="00150D1B" w:rsidP="00150D1B">
      <w:p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Los planes de acción operativos representan un 45.00%</w:t>
      </w:r>
      <w:r w:rsidRPr="00D50956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del total del Plan Estratégico Institucional –PEI-Vigencia 2017.</w:t>
      </w:r>
    </w:p>
    <w:p w:rsidR="00150D1B" w:rsidRDefault="00150D1B" w:rsidP="00150D1B">
      <w:pPr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</w:t>
      </w:r>
      <w:r w:rsidRPr="00803C9A">
        <w:rPr>
          <w:rFonts w:ascii="Calibri" w:hAnsi="Calibri"/>
          <w:b w:val="0"/>
          <w:sz w:val="22"/>
          <w:szCs w:val="22"/>
        </w:rPr>
        <w:t>El cumplimiento de las activid</w:t>
      </w:r>
      <w:r>
        <w:rPr>
          <w:rFonts w:ascii="Calibri" w:hAnsi="Calibri"/>
          <w:b w:val="0"/>
          <w:sz w:val="22"/>
          <w:szCs w:val="22"/>
        </w:rPr>
        <w:t>ades que conforman el Plan de A</w:t>
      </w:r>
      <w:r w:rsidRPr="00803C9A">
        <w:rPr>
          <w:rFonts w:ascii="Calibri" w:hAnsi="Calibri"/>
          <w:b w:val="0"/>
          <w:sz w:val="22"/>
          <w:szCs w:val="22"/>
        </w:rPr>
        <w:t xml:space="preserve">cción </w:t>
      </w:r>
      <w:r>
        <w:rPr>
          <w:rFonts w:ascii="Calibri" w:hAnsi="Calibri"/>
          <w:b w:val="0"/>
          <w:sz w:val="22"/>
          <w:szCs w:val="22"/>
        </w:rPr>
        <w:t xml:space="preserve">Operativo </w:t>
      </w:r>
      <w:r w:rsidRPr="00803C9A">
        <w:rPr>
          <w:rFonts w:ascii="Calibri" w:hAnsi="Calibri"/>
          <w:b w:val="0"/>
          <w:sz w:val="22"/>
          <w:szCs w:val="22"/>
        </w:rPr>
        <w:t xml:space="preserve">de la CGN </w:t>
      </w:r>
      <w:r>
        <w:rPr>
          <w:rFonts w:ascii="Calibri" w:hAnsi="Calibri"/>
          <w:b w:val="0"/>
          <w:sz w:val="22"/>
          <w:szCs w:val="22"/>
        </w:rPr>
        <w:t xml:space="preserve">al 31 de Marzo </w:t>
      </w:r>
      <w:r w:rsidRPr="00803C9A">
        <w:rPr>
          <w:rFonts w:ascii="Calibri" w:hAnsi="Calibri"/>
          <w:b w:val="0"/>
          <w:sz w:val="22"/>
          <w:szCs w:val="22"/>
        </w:rPr>
        <w:t>del 201</w:t>
      </w:r>
      <w:r>
        <w:rPr>
          <w:rFonts w:ascii="Calibri" w:hAnsi="Calibri"/>
          <w:b w:val="0"/>
          <w:sz w:val="22"/>
          <w:szCs w:val="22"/>
        </w:rPr>
        <w:t>7</w:t>
      </w:r>
      <w:r w:rsidRPr="00803C9A">
        <w:rPr>
          <w:rFonts w:ascii="Calibri" w:hAnsi="Calibri"/>
          <w:b w:val="0"/>
          <w:sz w:val="22"/>
          <w:szCs w:val="22"/>
        </w:rPr>
        <w:t xml:space="preserve"> fue del </w:t>
      </w:r>
      <w:r>
        <w:rPr>
          <w:rFonts w:ascii="Calibri" w:hAnsi="Calibri"/>
          <w:b w:val="0"/>
          <w:sz w:val="22"/>
          <w:szCs w:val="22"/>
        </w:rPr>
        <w:t>25.56</w:t>
      </w:r>
      <w:r w:rsidRPr="00A046DA">
        <w:rPr>
          <w:rFonts w:ascii="Calibri" w:hAnsi="Calibri"/>
          <w:b w:val="0"/>
          <w:sz w:val="22"/>
          <w:szCs w:val="22"/>
        </w:rPr>
        <w:t>%</w:t>
      </w:r>
      <w:r w:rsidRPr="00803C9A">
        <w:rPr>
          <w:rFonts w:ascii="Calibri" w:hAnsi="Calibri"/>
          <w:b w:val="0"/>
          <w:sz w:val="22"/>
          <w:szCs w:val="22"/>
        </w:rPr>
        <w:t xml:space="preserve"> reflejando un </w:t>
      </w:r>
      <w:r>
        <w:rPr>
          <w:rFonts w:ascii="Calibri" w:hAnsi="Calibri"/>
          <w:b w:val="0"/>
          <w:sz w:val="22"/>
          <w:szCs w:val="22"/>
        </w:rPr>
        <w:t>desempeño sobresaliente frente al 25% programado. (</w:t>
      </w:r>
      <w:r w:rsidRPr="00803C9A">
        <w:rPr>
          <w:rFonts w:ascii="Calibri" w:hAnsi="Calibri"/>
          <w:b w:val="0"/>
          <w:sz w:val="22"/>
          <w:szCs w:val="22"/>
        </w:rPr>
        <w:t xml:space="preserve">Ver </w:t>
      </w:r>
      <w:r>
        <w:rPr>
          <w:rFonts w:ascii="Calibri" w:hAnsi="Calibri"/>
          <w:b w:val="0"/>
          <w:sz w:val="22"/>
          <w:szCs w:val="22"/>
        </w:rPr>
        <w:t>Gráfico No</w:t>
      </w:r>
      <w:r w:rsidRPr="00803C9A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2 y Tabla No.2).</w:t>
      </w: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center"/>
        <w:rPr>
          <w:rFonts w:ascii="Calibri" w:hAnsi="Calibri"/>
          <w:sz w:val="22"/>
          <w:szCs w:val="22"/>
        </w:rPr>
      </w:pPr>
    </w:p>
    <w:p w:rsidR="00150D1B" w:rsidRDefault="00150D1B" w:rsidP="00150D1B">
      <w:pPr>
        <w:jc w:val="center"/>
        <w:rPr>
          <w:rFonts w:ascii="Calibri" w:hAnsi="Calibri"/>
          <w:sz w:val="22"/>
          <w:szCs w:val="22"/>
        </w:rPr>
      </w:pPr>
    </w:p>
    <w:p w:rsidR="00150D1B" w:rsidRPr="00491F7B" w:rsidRDefault="00150D1B" w:rsidP="00150D1B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Gráfico No.</w:t>
      </w:r>
      <w:r w:rsidRPr="00491F7B">
        <w:rPr>
          <w:rFonts w:ascii="Calibri" w:hAnsi="Calibri"/>
          <w:sz w:val="22"/>
          <w:szCs w:val="22"/>
        </w:rPr>
        <w:t xml:space="preserve"> 2 Comportamiento Plan de Acción Operativo al 3</w:t>
      </w:r>
      <w:r>
        <w:rPr>
          <w:rFonts w:ascii="Calibri" w:hAnsi="Calibri"/>
          <w:sz w:val="22"/>
          <w:szCs w:val="22"/>
        </w:rPr>
        <w:t>1</w:t>
      </w:r>
      <w:r w:rsidRPr="00491F7B">
        <w:rPr>
          <w:rFonts w:ascii="Calibri" w:hAnsi="Calibri"/>
          <w:sz w:val="22"/>
          <w:szCs w:val="22"/>
        </w:rPr>
        <w:t xml:space="preserve"> de </w:t>
      </w:r>
      <w:r>
        <w:rPr>
          <w:rFonts w:ascii="Calibri" w:hAnsi="Calibri"/>
          <w:sz w:val="22"/>
          <w:szCs w:val="22"/>
        </w:rPr>
        <w:t>Marzo</w:t>
      </w:r>
      <w:r w:rsidRPr="00491F7B">
        <w:rPr>
          <w:rFonts w:ascii="Calibri" w:hAnsi="Calibri"/>
          <w:sz w:val="22"/>
          <w:szCs w:val="22"/>
        </w:rPr>
        <w:t xml:space="preserve"> de 201</w:t>
      </w:r>
      <w:r>
        <w:rPr>
          <w:rFonts w:ascii="Calibri" w:hAnsi="Calibri"/>
          <w:sz w:val="22"/>
          <w:szCs w:val="22"/>
        </w:rPr>
        <w:t>7</w:t>
      </w:r>
    </w:p>
    <w:p w:rsidR="00150D1B" w:rsidRPr="00803C9A" w:rsidRDefault="00150D1B" w:rsidP="00150D1B">
      <w:pPr>
        <w:jc w:val="center"/>
        <w:rPr>
          <w:rFonts w:ascii="Calibri" w:hAnsi="Calibri"/>
          <w:b w:val="0"/>
          <w:sz w:val="22"/>
          <w:szCs w:val="22"/>
        </w:rPr>
      </w:pPr>
      <w:r>
        <w:rPr>
          <w:noProof/>
          <w:lang w:val="es-CO" w:eastAsia="es-CO"/>
        </w:rPr>
        <w:drawing>
          <wp:inline distT="0" distB="0" distL="0" distR="0">
            <wp:extent cx="5629275" cy="3562350"/>
            <wp:effectExtent l="0" t="0" r="0" b="0"/>
            <wp:docPr id="4" name="Gráfic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50D1B" w:rsidRPr="00803C9A" w:rsidRDefault="00150D1B" w:rsidP="00150D1B">
      <w:pPr>
        <w:jc w:val="center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center"/>
        <w:rPr>
          <w:rFonts w:ascii="Calibri" w:hAnsi="Calibri"/>
          <w:sz w:val="22"/>
          <w:szCs w:val="22"/>
        </w:rPr>
      </w:pPr>
      <w:r w:rsidRPr="005374F6">
        <w:rPr>
          <w:rFonts w:ascii="Calibri" w:hAnsi="Calibri"/>
          <w:sz w:val="22"/>
          <w:szCs w:val="22"/>
        </w:rPr>
        <w:t xml:space="preserve">Tabla </w:t>
      </w:r>
      <w:r>
        <w:rPr>
          <w:rFonts w:ascii="Calibri" w:hAnsi="Calibri"/>
          <w:sz w:val="22"/>
          <w:szCs w:val="22"/>
        </w:rPr>
        <w:t>No.3</w:t>
      </w:r>
      <w:r w:rsidRPr="005374F6">
        <w:rPr>
          <w:rFonts w:ascii="Calibri" w:hAnsi="Calibri"/>
          <w:sz w:val="22"/>
          <w:szCs w:val="22"/>
        </w:rPr>
        <w:t xml:space="preserve"> Comportamiento Planes de Acción Operativos al 3</w:t>
      </w:r>
      <w:r>
        <w:rPr>
          <w:rFonts w:ascii="Calibri" w:hAnsi="Calibri"/>
          <w:sz w:val="22"/>
          <w:szCs w:val="22"/>
        </w:rPr>
        <w:t>1</w:t>
      </w:r>
      <w:r w:rsidRPr="005374F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Marzo</w:t>
      </w:r>
      <w:r w:rsidRPr="005374F6">
        <w:rPr>
          <w:rFonts w:ascii="Calibri" w:hAnsi="Calibri"/>
          <w:sz w:val="22"/>
          <w:szCs w:val="22"/>
        </w:rPr>
        <w:t xml:space="preserve"> de 201</w:t>
      </w:r>
      <w:r>
        <w:rPr>
          <w:rFonts w:ascii="Calibri" w:hAnsi="Calibri"/>
          <w:sz w:val="22"/>
          <w:szCs w:val="22"/>
        </w:rPr>
        <w:t>7</w:t>
      </w:r>
      <w:r w:rsidRPr="005374F6">
        <w:rPr>
          <w:rFonts w:ascii="Calibri" w:hAnsi="Calibri"/>
          <w:sz w:val="22"/>
          <w:szCs w:val="22"/>
        </w:rPr>
        <w:t xml:space="preserve"> </w:t>
      </w:r>
    </w:p>
    <w:tbl>
      <w:tblPr>
        <w:tblW w:w="8647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134"/>
        <w:gridCol w:w="1275"/>
        <w:gridCol w:w="1134"/>
        <w:gridCol w:w="1560"/>
      </w:tblGrid>
      <w:tr w:rsidR="00150D1B" w:rsidRPr="00A05B73" w:rsidTr="00F802C9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Cs/>
                <w:color w:val="000000"/>
                <w:sz w:val="20"/>
                <w:szCs w:val="20"/>
                <w:lang w:val="es-CO" w:eastAsia="es-CO"/>
              </w:rPr>
            </w:pPr>
            <w:r w:rsidRPr="00A05B73">
              <w:rPr>
                <w:rFonts w:ascii="Calibri" w:hAnsi="Calibri" w:cs="Times New Roman"/>
                <w:bCs/>
                <w:color w:val="000000"/>
                <w:sz w:val="20"/>
                <w:szCs w:val="20"/>
                <w:lang w:val="es-CO" w:eastAsia="es-CO"/>
              </w:rPr>
              <w:t>ACTIVIDADES DE GESTIÓN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  <w:t>OBJETIVO ESTRATÉGICO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  <w:t>EJECUCIÓN A MARZO 31/17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  <w:t>PESO DEL PLAN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  <w:t xml:space="preserve">AVANCE </w:t>
            </w:r>
          </w:p>
        </w:tc>
      </w:tr>
      <w:tr w:rsidR="00150D1B" w:rsidRPr="00A05B73" w:rsidTr="00F802C9">
        <w:trPr>
          <w:trHeight w:val="6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  <w:t>NORMALIZACIÓN Y CULTURIZACIÓN CONTABLE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1,3,4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30,00%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9,33%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2,80%</w:t>
            </w:r>
          </w:p>
        </w:tc>
      </w:tr>
      <w:tr w:rsidR="00150D1B" w:rsidRPr="00A05B73" w:rsidTr="00F802C9">
        <w:trPr>
          <w:trHeight w:val="4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  <w:t>CONSOLIDACIÓN DE LA INFORMACIÓN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25,00%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6,09%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1,52%</w:t>
            </w:r>
          </w:p>
        </w:tc>
      </w:tr>
      <w:tr w:rsidR="00150D1B" w:rsidRPr="00A05B73" w:rsidTr="00F802C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  <w:t>CENTRALIZACIÓN DE LA INFORMACIÓN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23,53%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9,33%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2,19%</w:t>
            </w:r>
          </w:p>
        </w:tc>
      </w:tr>
      <w:tr w:rsidR="00150D1B" w:rsidRPr="00A05B73" w:rsidTr="00F802C9">
        <w:trPr>
          <w:trHeight w:val="4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  <w:t>COMUNICACIÓN PÚBLICA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25,00%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0,75%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0,19%</w:t>
            </w:r>
          </w:p>
        </w:tc>
      </w:tr>
      <w:tr w:rsidR="00150D1B" w:rsidRPr="00A05B73" w:rsidTr="00F802C9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  <w:t>CONTROL Y EVALUACIÓN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1 Y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25,00%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3,75%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0,94%</w:t>
            </w:r>
          </w:p>
        </w:tc>
      </w:tr>
      <w:tr w:rsidR="00150D1B" w:rsidRPr="00A05B73" w:rsidTr="00F802C9">
        <w:trPr>
          <w:trHeight w:val="4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  <w:t>GESTIÓN HUMANA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24,00%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3,75%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0,90%</w:t>
            </w:r>
          </w:p>
        </w:tc>
      </w:tr>
      <w:tr w:rsidR="00150D1B" w:rsidRPr="00A05B73" w:rsidTr="00F802C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  <w:t>GESTIÓN ADMINISTRATIVA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2,5,9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24,00%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3,75%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0,90%</w:t>
            </w:r>
          </w:p>
        </w:tc>
      </w:tr>
      <w:tr w:rsidR="00150D1B" w:rsidRPr="00A05B73" w:rsidTr="00F802C9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  <w:t>GESTIÓN RECURSOS FINANCIEROS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25,00%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3,75%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0,94%</w:t>
            </w:r>
          </w:p>
        </w:tc>
      </w:tr>
      <w:tr w:rsidR="00150D1B" w:rsidRPr="00A05B73" w:rsidTr="00F802C9">
        <w:trPr>
          <w:trHeight w:val="3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  <w:t>PLANEACIÓN INTEGRAL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1,2,5,7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25,00%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0,37%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0,09%</w:t>
            </w:r>
          </w:p>
        </w:tc>
      </w:tr>
      <w:tr w:rsidR="00150D1B" w:rsidRPr="00A05B73" w:rsidTr="00F802C9">
        <w:trPr>
          <w:trHeight w:val="4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  <w:t>GESTIÓN TICS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24,90%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0,50%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0,12%</w:t>
            </w:r>
          </w:p>
        </w:tc>
      </w:tr>
      <w:tr w:rsidR="00150D1B" w:rsidRPr="00A05B73" w:rsidTr="00F802C9">
        <w:trPr>
          <w:trHeight w:val="2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0"/>
                <w:szCs w:val="20"/>
                <w:lang w:val="es-CO" w:eastAsia="es-CO"/>
              </w:rPr>
              <w:t>GESTIÓN JURÍDICA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25,00%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3,75%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A05B73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0,94%</w:t>
            </w:r>
          </w:p>
        </w:tc>
      </w:tr>
      <w:tr w:rsidR="00150D1B" w:rsidRPr="00A05B73" w:rsidTr="00F802C9">
        <w:trPr>
          <w:trHeight w:val="2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Cs/>
                <w:color w:val="000000"/>
                <w:sz w:val="20"/>
                <w:szCs w:val="20"/>
                <w:lang w:val="es-CO" w:eastAsia="es-CO"/>
              </w:rPr>
            </w:pPr>
            <w:r w:rsidRPr="00A05B73">
              <w:rPr>
                <w:rFonts w:ascii="Calibri" w:hAnsi="Calibri" w:cs="Times New Roman"/>
                <w:bCs/>
                <w:color w:val="000000"/>
                <w:sz w:val="20"/>
                <w:szCs w:val="20"/>
                <w:lang w:val="es-CO" w:eastAsia="es-CO"/>
              </w:rPr>
              <w:t>TOTAL PLAN DE ACCIÓN OPERATIVO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  <w:t>25,56%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  <w:t>45</w:t>
            </w:r>
            <w:r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  <w:t>,00</w:t>
            </w:r>
            <w:r w:rsidRPr="00A05B73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50D1B" w:rsidRPr="00A05B73" w:rsidRDefault="00150D1B" w:rsidP="00F802C9">
            <w:pPr>
              <w:jc w:val="center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A05B73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  <w:t>11,53%</w:t>
            </w:r>
          </w:p>
        </w:tc>
      </w:tr>
    </w:tbl>
    <w:p w:rsidR="00150D1B" w:rsidRDefault="00150D1B" w:rsidP="00150D1B">
      <w:pPr>
        <w:jc w:val="center"/>
        <w:rPr>
          <w:rFonts w:ascii="Calibri" w:hAnsi="Calibri"/>
          <w:sz w:val="22"/>
          <w:szCs w:val="22"/>
        </w:rPr>
      </w:pPr>
    </w:p>
    <w:p w:rsidR="00150D1B" w:rsidRDefault="00150D1B" w:rsidP="00150D1B">
      <w:p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En general se cumplieron todas las actividades contempladas en los planes de acción operativos de los procesos según sus cronogramas internos de trabajo al 31 de Marzo del presente año.</w:t>
      </w:r>
    </w:p>
    <w:p w:rsidR="00150D1B" w:rsidRPr="00AA37FB" w:rsidRDefault="00150D1B" w:rsidP="00150D1B">
      <w:pPr>
        <w:pStyle w:val="Ttulo1"/>
        <w:numPr>
          <w:ilvl w:val="0"/>
          <w:numId w:val="1"/>
        </w:numPr>
        <w:rPr>
          <w:color w:val="000000"/>
        </w:rPr>
      </w:pPr>
      <w:bookmarkStart w:id="19" w:name="_Toc481054904"/>
      <w:r w:rsidRPr="00AA37FB">
        <w:rPr>
          <w:color w:val="000000"/>
        </w:rPr>
        <w:t>EVALUACIÓN DE LOS OBJETIVOS ESTRATÉGICOS</w:t>
      </w:r>
      <w:bookmarkEnd w:id="19"/>
      <w:r w:rsidRPr="00AA37FB">
        <w:rPr>
          <w:color w:val="000000"/>
        </w:rPr>
        <w:t xml:space="preserve"> </w:t>
      </w:r>
    </w:p>
    <w:p w:rsidR="00150D1B" w:rsidRPr="0034222F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  <w:lang w:val="es-CL"/>
        </w:rPr>
        <w:t>L</w:t>
      </w:r>
      <w:r w:rsidRPr="0034222F">
        <w:rPr>
          <w:rFonts w:ascii="Calibri" w:hAnsi="Calibri"/>
          <w:b w:val="0"/>
          <w:sz w:val="22"/>
          <w:szCs w:val="22"/>
          <w:lang w:val="es-CL"/>
        </w:rPr>
        <w:t xml:space="preserve">a evaluación de los objetivos estratégicos de la CGN se realiza mediante la medición de indicadores </w:t>
      </w:r>
      <w:r>
        <w:rPr>
          <w:rFonts w:ascii="Calibri" w:hAnsi="Calibri"/>
          <w:b w:val="0"/>
          <w:sz w:val="22"/>
          <w:szCs w:val="22"/>
          <w:lang w:val="es-CL"/>
        </w:rPr>
        <w:t>de gestión</w:t>
      </w:r>
      <w:r w:rsidRPr="0034222F">
        <w:rPr>
          <w:rFonts w:ascii="Calibri" w:hAnsi="Calibri"/>
          <w:b w:val="0"/>
          <w:sz w:val="22"/>
          <w:szCs w:val="22"/>
          <w:lang w:val="es-CL"/>
        </w:rPr>
        <w:t xml:space="preserve">, utilizando la herramienta Balance </w:t>
      </w:r>
      <w:proofErr w:type="spellStart"/>
      <w:r w:rsidRPr="0034222F">
        <w:rPr>
          <w:rFonts w:ascii="Calibri" w:hAnsi="Calibri"/>
          <w:b w:val="0"/>
          <w:sz w:val="22"/>
          <w:szCs w:val="22"/>
          <w:lang w:val="es-CL"/>
        </w:rPr>
        <w:t>Score</w:t>
      </w:r>
      <w:r>
        <w:rPr>
          <w:rFonts w:ascii="Calibri" w:hAnsi="Calibri"/>
          <w:b w:val="0"/>
          <w:sz w:val="22"/>
          <w:szCs w:val="22"/>
          <w:lang w:val="es-CL"/>
        </w:rPr>
        <w:t>d</w:t>
      </w:r>
      <w:proofErr w:type="spellEnd"/>
      <w:r w:rsidRPr="0034222F">
        <w:rPr>
          <w:rFonts w:ascii="Calibri" w:hAnsi="Calibri"/>
          <w:b w:val="0"/>
          <w:sz w:val="22"/>
          <w:szCs w:val="22"/>
          <w:lang w:val="es-CL"/>
        </w:rPr>
        <w:t xml:space="preserve"> </w:t>
      </w:r>
      <w:proofErr w:type="spellStart"/>
      <w:r w:rsidRPr="0034222F">
        <w:rPr>
          <w:rFonts w:ascii="Calibri" w:hAnsi="Calibri"/>
          <w:b w:val="0"/>
          <w:sz w:val="22"/>
          <w:szCs w:val="22"/>
          <w:lang w:val="es-CL"/>
        </w:rPr>
        <w:t>Card</w:t>
      </w:r>
      <w:proofErr w:type="spellEnd"/>
      <w:r w:rsidRPr="0034222F">
        <w:rPr>
          <w:rFonts w:ascii="Calibri" w:hAnsi="Calibri"/>
          <w:b w:val="0"/>
          <w:sz w:val="22"/>
          <w:szCs w:val="22"/>
          <w:lang w:val="es-CL"/>
        </w:rPr>
        <w:t xml:space="preserve"> (BSC) </w:t>
      </w:r>
      <w:r>
        <w:rPr>
          <w:rFonts w:ascii="Calibri" w:hAnsi="Calibri"/>
          <w:b w:val="0"/>
          <w:sz w:val="22"/>
          <w:szCs w:val="22"/>
          <w:lang w:val="es-CL"/>
        </w:rPr>
        <w:t>- C</w:t>
      </w:r>
      <w:r w:rsidRPr="0034222F">
        <w:rPr>
          <w:rFonts w:ascii="Calibri" w:hAnsi="Calibri"/>
          <w:b w:val="0"/>
          <w:sz w:val="22"/>
          <w:szCs w:val="22"/>
          <w:lang w:val="es-CL"/>
        </w:rPr>
        <w:t>uadro de mando integral</w:t>
      </w:r>
      <w:r>
        <w:rPr>
          <w:rFonts w:ascii="Calibri" w:hAnsi="Calibri"/>
          <w:b w:val="0"/>
          <w:sz w:val="22"/>
          <w:szCs w:val="22"/>
          <w:lang w:val="es-CL"/>
        </w:rPr>
        <w:t>. E</w:t>
      </w:r>
      <w:proofErr w:type="spellStart"/>
      <w:r w:rsidRPr="001017F8">
        <w:rPr>
          <w:rFonts w:ascii="Calibri" w:hAnsi="Calibri"/>
          <w:b w:val="0"/>
          <w:sz w:val="22"/>
          <w:szCs w:val="22"/>
        </w:rPr>
        <w:t>sta</w:t>
      </w:r>
      <w:proofErr w:type="spellEnd"/>
      <w:r w:rsidRPr="001017F8">
        <w:rPr>
          <w:rFonts w:ascii="Calibri" w:hAnsi="Calibri"/>
          <w:b w:val="0"/>
          <w:sz w:val="22"/>
          <w:szCs w:val="22"/>
        </w:rPr>
        <w:t xml:space="preserve"> me</w:t>
      </w:r>
      <w:r>
        <w:rPr>
          <w:rFonts w:ascii="Calibri" w:hAnsi="Calibri"/>
          <w:b w:val="0"/>
          <w:sz w:val="22"/>
          <w:szCs w:val="22"/>
        </w:rPr>
        <w:t>todología permite alinear</w:t>
      </w:r>
      <w:r w:rsidRPr="001017F8">
        <w:rPr>
          <w:rFonts w:ascii="Calibri" w:hAnsi="Calibri"/>
          <w:b w:val="0"/>
          <w:sz w:val="22"/>
          <w:szCs w:val="22"/>
        </w:rPr>
        <w:t xml:space="preserve"> los objetivos estratégicos con los indicadores, los planes y  las metas</w:t>
      </w:r>
      <w:r>
        <w:rPr>
          <w:rFonts w:ascii="Calibri" w:hAnsi="Calibri"/>
          <w:b w:val="0"/>
          <w:sz w:val="22"/>
          <w:szCs w:val="22"/>
        </w:rPr>
        <w:t xml:space="preserve">. </w:t>
      </w: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Para el I trimestre del año 2017 </w:t>
      </w:r>
      <w:r w:rsidRPr="004D4542">
        <w:rPr>
          <w:rFonts w:ascii="Calibri" w:hAnsi="Calibri"/>
          <w:b w:val="0"/>
          <w:sz w:val="22"/>
          <w:szCs w:val="22"/>
        </w:rPr>
        <w:t>el comportamiento d</w:t>
      </w:r>
      <w:r>
        <w:rPr>
          <w:rFonts w:ascii="Calibri" w:hAnsi="Calibri"/>
          <w:b w:val="0"/>
          <w:sz w:val="22"/>
          <w:szCs w:val="22"/>
        </w:rPr>
        <w:t xml:space="preserve">e los objetivos estratégicos </w:t>
      </w:r>
      <w:r w:rsidRPr="004D4542">
        <w:rPr>
          <w:rFonts w:ascii="Calibri" w:hAnsi="Calibri"/>
          <w:b w:val="0"/>
          <w:sz w:val="22"/>
          <w:szCs w:val="22"/>
        </w:rPr>
        <w:t xml:space="preserve">alcanzó un </w:t>
      </w:r>
      <w:r>
        <w:rPr>
          <w:rFonts w:ascii="Calibri" w:hAnsi="Calibri"/>
          <w:b w:val="0"/>
          <w:sz w:val="22"/>
          <w:szCs w:val="22"/>
        </w:rPr>
        <w:t xml:space="preserve">buen </w:t>
      </w:r>
      <w:r w:rsidRPr="004D4542">
        <w:rPr>
          <w:rFonts w:ascii="Calibri" w:hAnsi="Calibri"/>
          <w:b w:val="0"/>
          <w:sz w:val="22"/>
          <w:szCs w:val="22"/>
        </w:rPr>
        <w:t xml:space="preserve">cumplimiento </w:t>
      </w:r>
      <w:r>
        <w:rPr>
          <w:rFonts w:ascii="Calibri" w:hAnsi="Calibri"/>
          <w:b w:val="0"/>
          <w:sz w:val="22"/>
          <w:szCs w:val="22"/>
        </w:rPr>
        <w:t>del</w:t>
      </w:r>
      <w:r w:rsidRPr="004D4542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95.1%, (Ver Gráfico No. 3 y 4).</w:t>
      </w: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pStyle w:val="NormalWeb"/>
        <w:spacing w:before="0" w:beforeAutospacing="0" w:after="0" w:afterAutospacing="0"/>
        <w:ind w:left="763" w:hanging="763"/>
        <w:jc w:val="center"/>
        <w:textAlignment w:val="baseline"/>
        <w:rPr>
          <w:rFonts w:ascii="Calibri" w:hAnsi="Calibri"/>
          <w:b/>
          <w:bCs/>
          <w:color w:val="1F497D"/>
          <w:kern w:val="24"/>
          <w:sz w:val="22"/>
          <w:szCs w:val="22"/>
        </w:rPr>
      </w:pPr>
      <w:r>
        <w:rPr>
          <w:rFonts w:ascii="Calibri" w:hAnsi="Calibri"/>
          <w:b/>
          <w:bCs/>
          <w:color w:val="1F497D"/>
          <w:kern w:val="24"/>
          <w:sz w:val="22"/>
          <w:szCs w:val="22"/>
        </w:rPr>
        <w:t>Gráfico No</w:t>
      </w:r>
      <w:r w:rsidRPr="00A451D9">
        <w:rPr>
          <w:rFonts w:ascii="Calibri" w:hAnsi="Calibri"/>
          <w:b/>
          <w:bCs/>
          <w:color w:val="1F497D"/>
          <w:kern w:val="24"/>
          <w:sz w:val="22"/>
          <w:szCs w:val="22"/>
        </w:rPr>
        <w:t xml:space="preserve">. 3 </w:t>
      </w:r>
      <w:r>
        <w:rPr>
          <w:rFonts w:ascii="Calibri" w:hAnsi="Calibri"/>
          <w:b/>
          <w:bCs/>
          <w:color w:val="1F497D"/>
          <w:kern w:val="24"/>
          <w:sz w:val="22"/>
          <w:szCs w:val="22"/>
        </w:rPr>
        <w:t>Mapa Estratégico CGN I Trimestre año 2017</w:t>
      </w:r>
    </w:p>
    <w:p w:rsidR="00150D1B" w:rsidRDefault="00150D1B" w:rsidP="00150D1B">
      <w:pPr>
        <w:pStyle w:val="NormalWeb"/>
        <w:spacing w:before="0" w:beforeAutospacing="0" w:after="0" w:afterAutospacing="0"/>
        <w:ind w:left="763" w:hanging="763"/>
        <w:jc w:val="center"/>
        <w:textAlignment w:val="baseline"/>
        <w:rPr>
          <w:rFonts w:ascii="Calibri" w:hAnsi="Calibri"/>
          <w:b/>
          <w:bCs/>
          <w:color w:val="1F497D"/>
          <w:kern w:val="24"/>
          <w:sz w:val="22"/>
          <w:szCs w:val="22"/>
        </w:rPr>
      </w:pPr>
    </w:p>
    <w:p w:rsidR="00150D1B" w:rsidRDefault="00150D1B" w:rsidP="00150D1B">
      <w:pPr>
        <w:pStyle w:val="NormalWeb"/>
        <w:spacing w:before="0" w:beforeAutospacing="0" w:after="0" w:afterAutospacing="0"/>
        <w:ind w:left="763" w:hanging="763"/>
        <w:jc w:val="center"/>
        <w:textAlignment w:val="baseline"/>
        <w:rPr>
          <w:rFonts w:ascii="Calibri" w:hAnsi="Calibri"/>
          <w:b/>
          <w:bCs/>
          <w:color w:val="1F497D"/>
          <w:kern w:val="24"/>
          <w:sz w:val="22"/>
          <w:szCs w:val="22"/>
        </w:rPr>
      </w:pPr>
      <w:r>
        <w:rPr>
          <w:rFonts w:ascii="Calibri" w:hAnsi="Calibri"/>
          <w:b/>
          <w:bCs/>
          <w:noProof/>
          <w:color w:val="1F497D"/>
          <w:kern w:val="24"/>
          <w:sz w:val="22"/>
          <w:szCs w:val="22"/>
          <w:lang w:val="es-CO" w:eastAsia="es-CO"/>
        </w:rPr>
        <w:drawing>
          <wp:inline distT="0" distB="0" distL="0" distR="0">
            <wp:extent cx="6143625" cy="37338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D1B" w:rsidRPr="00A451D9" w:rsidRDefault="00150D1B" w:rsidP="00150D1B">
      <w:pPr>
        <w:pStyle w:val="NormalWeb"/>
        <w:spacing w:before="0" w:beforeAutospacing="0" w:after="0" w:afterAutospacing="0"/>
        <w:ind w:left="763" w:hanging="763"/>
        <w:jc w:val="center"/>
        <w:textAlignment w:val="baseline"/>
        <w:rPr>
          <w:sz w:val="22"/>
          <w:szCs w:val="22"/>
        </w:rPr>
      </w:pPr>
    </w:p>
    <w:p w:rsidR="00150D1B" w:rsidRDefault="00150D1B" w:rsidP="00150D1B">
      <w:pPr>
        <w:ind w:left="3540" w:firstLine="708"/>
        <w:jc w:val="both"/>
        <w:rPr>
          <w:rFonts w:ascii="Calibri" w:hAnsi="Calibri"/>
          <w:sz w:val="18"/>
          <w:szCs w:val="18"/>
        </w:rPr>
      </w:pPr>
    </w:p>
    <w:p w:rsidR="00150D1B" w:rsidRPr="00337969" w:rsidRDefault="00150D1B" w:rsidP="00150D1B">
      <w:pPr>
        <w:jc w:val="both"/>
        <w:rPr>
          <w:rFonts w:ascii="Calibri" w:hAnsi="Calibri"/>
          <w:sz w:val="18"/>
          <w:szCs w:val="18"/>
        </w:rPr>
      </w:pPr>
      <w:r w:rsidRPr="00337969">
        <w:rPr>
          <w:rFonts w:ascii="Calibri" w:hAnsi="Calibri"/>
          <w:sz w:val="18"/>
          <w:szCs w:val="18"/>
        </w:rPr>
        <w:t>Convenciones CMI</w:t>
      </w:r>
    </w:p>
    <w:tbl>
      <w:tblPr>
        <w:tblW w:w="29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880"/>
        <w:gridCol w:w="1260"/>
      </w:tblGrid>
      <w:tr w:rsidR="00150D1B" w:rsidRPr="00A542C8" w:rsidTr="00F802C9">
        <w:trPr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1B" w:rsidRPr="00A542C8" w:rsidRDefault="00150D1B" w:rsidP="00F802C9">
            <w:pPr>
              <w:jc w:val="right"/>
              <w:rPr>
                <w:rFonts w:ascii="Calibri" w:hAnsi="Calibri" w:cs="Calibri"/>
                <w:b w:val="0"/>
                <w:sz w:val="18"/>
                <w:szCs w:val="18"/>
                <w:lang w:val="es-CO" w:eastAsia="es-CO"/>
              </w:rPr>
            </w:pPr>
            <w:r w:rsidRPr="00A542C8">
              <w:rPr>
                <w:rFonts w:ascii="Calibri" w:hAnsi="Calibri" w:cs="Calibri"/>
                <w:b w:val="0"/>
                <w:sz w:val="18"/>
                <w:szCs w:val="18"/>
                <w:lang w:val="es-CO" w:eastAsia="es-CO"/>
              </w:rPr>
              <w:t>0%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1B" w:rsidRPr="00A542C8" w:rsidRDefault="00150D1B" w:rsidP="00F802C9">
            <w:pPr>
              <w:jc w:val="center"/>
              <w:rPr>
                <w:rFonts w:ascii="Calibri" w:hAnsi="Calibri" w:cs="Calibri"/>
                <w:b w:val="0"/>
                <w:sz w:val="18"/>
                <w:szCs w:val="18"/>
                <w:lang w:val="es-CO" w:eastAsia="es-CO"/>
              </w:rPr>
            </w:pPr>
            <w:r w:rsidRPr="00A542C8">
              <w:rPr>
                <w:rFonts w:ascii="Calibri" w:hAnsi="Calibri" w:cs="Calibri"/>
                <w:b w:val="0"/>
                <w:sz w:val="18"/>
                <w:szCs w:val="18"/>
                <w:lang w:val="es-CO" w:eastAsia="es-CO"/>
              </w:rPr>
              <w:t>&gt;70%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0806"/>
            <w:vAlign w:val="center"/>
            <w:hideMark/>
          </w:tcPr>
          <w:p w:rsidR="00150D1B" w:rsidRPr="00A542C8" w:rsidRDefault="00150D1B" w:rsidP="00F802C9">
            <w:pPr>
              <w:rPr>
                <w:rFonts w:ascii="Calibri" w:hAnsi="Calibri" w:cs="Calibri"/>
                <w:bCs/>
                <w:sz w:val="18"/>
                <w:szCs w:val="18"/>
                <w:lang w:val="es-CO" w:eastAsia="es-CO"/>
              </w:rPr>
            </w:pPr>
            <w:r w:rsidRPr="00A542C8">
              <w:rPr>
                <w:rFonts w:ascii="Calibri" w:hAnsi="Calibri" w:cs="Calibri"/>
                <w:bCs/>
                <w:sz w:val="18"/>
                <w:szCs w:val="18"/>
                <w:lang w:val="es-CO" w:eastAsia="es-CO"/>
              </w:rPr>
              <w:t>Insatisfactorio</w:t>
            </w:r>
          </w:p>
        </w:tc>
      </w:tr>
      <w:tr w:rsidR="00150D1B" w:rsidRPr="00A542C8" w:rsidTr="00F802C9">
        <w:trPr>
          <w:trHeight w:val="2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1B" w:rsidRPr="00A542C8" w:rsidRDefault="00150D1B" w:rsidP="00F802C9">
            <w:pPr>
              <w:jc w:val="right"/>
              <w:rPr>
                <w:rFonts w:ascii="Calibri" w:hAnsi="Calibri" w:cs="Calibri"/>
                <w:b w:val="0"/>
                <w:sz w:val="18"/>
                <w:szCs w:val="18"/>
                <w:lang w:val="es-CO" w:eastAsia="es-CO"/>
              </w:rPr>
            </w:pPr>
            <w:r w:rsidRPr="00A542C8">
              <w:rPr>
                <w:rFonts w:ascii="Calibri" w:hAnsi="Calibri" w:cs="Calibri"/>
                <w:b w:val="0"/>
                <w:sz w:val="18"/>
                <w:szCs w:val="18"/>
                <w:lang w:val="es-CO" w:eastAsia="es-CO"/>
              </w:rPr>
              <w:t>&gt;=60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1B" w:rsidRPr="00A542C8" w:rsidRDefault="00150D1B" w:rsidP="00F802C9">
            <w:pPr>
              <w:jc w:val="center"/>
              <w:rPr>
                <w:rFonts w:ascii="Calibri" w:hAnsi="Calibri" w:cs="Calibri"/>
                <w:b w:val="0"/>
                <w:sz w:val="18"/>
                <w:szCs w:val="18"/>
                <w:lang w:val="es-CO" w:eastAsia="es-CO"/>
              </w:rPr>
            </w:pPr>
            <w:r w:rsidRPr="00A542C8">
              <w:rPr>
                <w:rFonts w:ascii="Calibri" w:hAnsi="Calibri" w:cs="Calibri"/>
                <w:b w:val="0"/>
                <w:sz w:val="18"/>
                <w:szCs w:val="18"/>
                <w:lang w:val="es-CO" w:eastAsia="es-CO"/>
              </w:rPr>
              <w:t>&gt;90%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0D1B" w:rsidRPr="00A542C8" w:rsidRDefault="00150D1B" w:rsidP="00F802C9">
            <w:pPr>
              <w:rPr>
                <w:rFonts w:ascii="Calibri" w:hAnsi="Calibri" w:cs="Calibri"/>
                <w:b w:val="0"/>
                <w:sz w:val="18"/>
                <w:szCs w:val="18"/>
                <w:lang w:val="es-CO" w:eastAsia="es-CO"/>
              </w:rPr>
            </w:pPr>
            <w:r w:rsidRPr="00A542C8">
              <w:rPr>
                <w:rFonts w:ascii="Calibri" w:hAnsi="Calibri" w:cs="Calibri"/>
                <w:b w:val="0"/>
                <w:sz w:val="18"/>
                <w:szCs w:val="18"/>
                <w:lang w:val="es-CO" w:eastAsia="es-CO"/>
              </w:rPr>
              <w:t>Satisfactorio</w:t>
            </w:r>
          </w:p>
        </w:tc>
      </w:tr>
      <w:tr w:rsidR="00150D1B" w:rsidRPr="00A542C8" w:rsidTr="00F802C9">
        <w:trPr>
          <w:trHeight w:val="1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1B" w:rsidRPr="00A542C8" w:rsidRDefault="00150D1B" w:rsidP="00F802C9">
            <w:pPr>
              <w:jc w:val="right"/>
              <w:rPr>
                <w:rFonts w:ascii="Calibri" w:hAnsi="Calibri" w:cs="Calibri"/>
                <w:b w:val="0"/>
                <w:sz w:val="18"/>
                <w:szCs w:val="18"/>
                <w:lang w:val="es-CO" w:eastAsia="es-CO"/>
              </w:rPr>
            </w:pPr>
            <w:r w:rsidRPr="00A542C8">
              <w:rPr>
                <w:rFonts w:ascii="Calibri" w:hAnsi="Calibri" w:cs="Calibri"/>
                <w:b w:val="0"/>
                <w:sz w:val="18"/>
                <w:szCs w:val="18"/>
                <w:lang w:val="es-CO" w:eastAsia="es-CO"/>
              </w:rPr>
              <w:t>&gt;=90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1B" w:rsidRPr="00A542C8" w:rsidRDefault="00150D1B" w:rsidP="00F802C9">
            <w:pPr>
              <w:jc w:val="center"/>
              <w:rPr>
                <w:rFonts w:ascii="Calibri" w:hAnsi="Calibri" w:cs="Calibri"/>
                <w:b w:val="0"/>
                <w:sz w:val="18"/>
                <w:szCs w:val="18"/>
                <w:lang w:val="es-CO" w:eastAsia="es-CO"/>
              </w:rPr>
            </w:pPr>
            <w:r w:rsidRPr="00A542C8">
              <w:rPr>
                <w:rFonts w:ascii="Calibri" w:hAnsi="Calibri" w:cs="Calibri"/>
                <w:b w:val="0"/>
                <w:sz w:val="18"/>
                <w:szCs w:val="18"/>
                <w:lang w:val="es-CO" w:eastAsia="es-CO"/>
              </w:rPr>
              <w:t>&gt;100%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50D1B" w:rsidRPr="00A542C8" w:rsidRDefault="00150D1B" w:rsidP="00F802C9">
            <w:pPr>
              <w:rPr>
                <w:rFonts w:ascii="Calibri" w:hAnsi="Calibri" w:cs="Calibri"/>
                <w:b w:val="0"/>
                <w:color w:val="FFFFFF"/>
                <w:sz w:val="18"/>
                <w:szCs w:val="18"/>
                <w:lang w:val="es-CO" w:eastAsia="es-CO"/>
              </w:rPr>
            </w:pPr>
            <w:r w:rsidRPr="00A542C8">
              <w:rPr>
                <w:rFonts w:ascii="Calibri" w:hAnsi="Calibri" w:cs="Calibri"/>
                <w:b w:val="0"/>
                <w:color w:val="FFFFFF"/>
                <w:sz w:val="18"/>
                <w:szCs w:val="18"/>
                <w:lang w:val="es-CO" w:eastAsia="es-CO"/>
              </w:rPr>
              <w:t>Bueno</w:t>
            </w:r>
          </w:p>
        </w:tc>
      </w:tr>
      <w:tr w:rsidR="00150D1B" w:rsidRPr="00A542C8" w:rsidTr="00F802C9">
        <w:trPr>
          <w:trHeight w:val="2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1B" w:rsidRPr="00A542C8" w:rsidRDefault="00150D1B" w:rsidP="00F802C9">
            <w:pPr>
              <w:jc w:val="right"/>
              <w:rPr>
                <w:rFonts w:ascii="Calibri" w:hAnsi="Calibri" w:cs="Calibri"/>
                <w:b w:val="0"/>
                <w:sz w:val="18"/>
                <w:szCs w:val="18"/>
                <w:lang w:val="es-CO" w:eastAsia="es-CO"/>
              </w:rPr>
            </w:pPr>
            <w:r w:rsidRPr="00A542C8">
              <w:rPr>
                <w:rFonts w:ascii="Calibri" w:hAnsi="Calibri" w:cs="Calibri"/>
                <w:b w:val="0"/>
                <w:sz w:val="18"/>
                <w:szCs w:val="18"/>
                <w:lang w:val="es-CO" w:eastAsia="es-CO"/>
              </w:rPr>
              <w:t>&gt;=100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1B" w:rsidRPr="00A542C8" w:rsidRDefault="00150D1B" w:rsidP="00F802C9">
            <w:pPr>
              <w:jc w:val="center"/>
              <w:rPr>
                <w:rFonts w:ascii="Calibri" w:hAnsi="Calibri" w:cs="Calibri"/>
                <w:b w:val="0"/>
                <w:sz w:val="18"/>
                <w:szCs w:val="18"/>
                <w:lang w:val="es-CO" w:eastAsia="es-CO"/>
              </w:rPr>
            </w:pPr>
            <w:r w:rsidRPr="00A542C8">
              <w:rPr>
                <w:rFonts w:ascii="Calibri" w:hAnsi="Calibri" w:cs="Calibri"/>
                <w:b w:val="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:rsidR="00150D1B" w:rsidRPr="00A542C8" w:rsidRDefault="00150D1B" w:rsidP="00F802C9">
            <w:pPr>
              <w:rPr>
                <w:rFonts w:ascii="Calibri" w:hAnsi="Calibri" w:cs="Calibri"/>
                <w:b w:val="0"/>
                <w:color w:val="FFFFFF"/>
                <w:sz w:val="18"/>
                <w:szCs w:val="18"/>
                <w:lang w:val="es-CO" w:eastAsia="es-CO"/>
              </w:rPr>
            </w:pPr>
            <w:r w:rsidRPr="00A542C8">
              <w:rPr>
                <w:rFonts w:ascii="Calibri" w:hAnsi="Calibri" w:cs="Calibri"/>
                <w:b w:val="0"/>
                <w:color w:val="FFFFFF"/>
                <w:sz w:val="18"/>
                <w:szCs w:val="18"/>
                <w:lang w:val="es-CO" w:eastAsia="es-CO"/>
              </w:rPr>
              <w:t>Sobresaliente</w:t>
            </w:r>
          </w:p>
        </w:tc>
      </w:tr>
    </w:tbl>
    <w:p w:rsidR="00150D1B" w:rsidRDefault="00150D1B" w:rsidP="00150D1B">
      <w:pPr>
        <w:jc w:val="center"/>
        <w:rPr>
          <w:rFonts w:ascii="Calibri" w:hAnsi="Calibri"/>
          <w:sz w:val="22"/>
          <w:szCs w:val="22"/>
          <w:lang w:val="es-CL"/>
        </w:rPr>
      </w:pPr>
    </w:p>
    <w:p w:rsidR="00150D1B" w:rsidRDefault="00150D1B" w:rsidP="00150D1B">
      <w:pPr>
        <w:jc w:val="center"/>
        <w:rPr>
          <w:rFonts w:ascii="Calibri" w:hAnsi="Calibri"/>
          <w:sz w:val="22"/>
          <w:szCs w:val="22"/>
          <w:lang w:val="es-CL"/>
        </w:rPr>
      </w:pPr>
    </w:p>
    <w:p w:rsidR="00150D1B" w:rsidRDefault="00150D1B" w:rsidP="00150D1B">
      <w:pPr>
        <w:jc w:val="center"/>
        <w:rPr>
          <w:rFonts w:ascii="Calibri" w:hAnsi="Calibri"/>
          <w:sz w:val="22"/>
          <w:szCs w:val="22"/>
          <w:lang w:val="es-CL"/>
        </w:rPr>
      </w:pPr>
    </w:p>
    <w:p w:rsidR="00150D1B" w:rsidRPr="009C7A4C" w:rsidRDefault="00150D1B" w:rsidP="00150D1B">
      <w:pPr>
        <w:jc w:val="center"/>
        <w:rPr>
          <w:rFonts w:ascii="Calibri" w:hAnsi="Calibri"/>
          <w:sz w:val="22"/>
          <w:szCs w:val="22"/>
        </w:rPr>
      </w:pPr>
    </w:p>
    <w:p w:rsidR="00150D1B" w:rsidRDefault="00150D1B" w:rsidP="00150D1B">
      <w:pPr>
        <w:jc w:val="center"/>
        <w:rPr>
          <w:rFonts w:ascii="Calibri" w:hAnsi="Calibri"/>
          <w:sz w:val="22"/>
          <w:szCs w:val="22"/>
          <w:lang w:val="es-CL"/>
        </w:rPr>
      </w:pPr>
    </w:p>
    <w:p w:rsidR="00150D1B" w:rsidRDefault="00150D1B" w:rsidP="00150D1B">
      <w:pPr>
        <w:jc w:val="center"/>
        <w:rPr>
          <w:rFonts w:ascii="Calibri" w:hAnsi="Calibri"/>
          <w:sz w:val="22"/>
          <w:szCs w:val="22"/>
          <w:lang w:val="es-CL"/>
        </w:rPr>
      </w:pPr>
      <w:r>
        <w:rPr>
          <w:rFonts w:ascii="Calibri" w:hAnsi="Calibri"/>
          <w:sz w:val="22"/>
          <w:szCs w:val="22"/>
          <w:lang w:val="es-CL"/>
        </w:rPr>
        <w:t>Gráfico No.</w:t>
      </w:r>
      <w:r w:rsidRPr="00116461">
        <w:rPr>
          <w:rFonts w:ascii="Calibri" w:hAnsi="Calibri"/>
          <w:sz w:val="22"/>
          <w:szCs w:val="22"/>
          <w:lang w:val="es-CL"/>
        </w:rPr>
        <w:t xml:space="preserve"> 4 Comportamiento Objetivos Estratégicos CGN </w:t>
      </w:r>
      <w:r>
        <w:rPr>
          <w:rFonts w:ascii="Calibri" w:hAnsi="Calibri"/>
          <w:sz w:val="22"/>
          <w:szCs w:val="22"/>
          <w:lang w:val="es-CL"/>
        </w:rPr>
        <w:t>al I Trimestre de 2017</w:t>
      </w:r>
    </w:p>
    <w:p w:rsidR="00150D1B" w:rsidRDefault="00150D1B" w:rsidP="00150D1B">
      <w:pPr>
        <w:jc w:val="center"/>
        <w:rPr>
          <w:rFonts w:ascii="Calibri" w:hAnsi="Calibri"/>
          <w:sz w:val="22"/>
          <w:szCs w:val="22"/>
          <w:lang w:val="es-CL"/>
        </w:rPr>
      </w:pPr>
    </w:p>
    <w:p w:rsidR="00150D1B" w:rsidRPr="00116461" w:rsidRDefault="00150D1B" w:rsidP="00150D1B">
      <w:pPr>
        <w:jc w:val="center"/>
        <w:rPr>
          <w:rFonts w:ascii="Calibri" w:hAnsi="Calibri"/>
          <w:sz w:val="22"/>
          <w:szCs w:val="22"/>
          <w:lang w:val="es-CL"/>
        </w:rPr>
      </w:pPr>
      <w:r>
        <w:rPr>
          <w:noProof/>
          <w:lang w:val="es-CO" w:eastAsia="es-CO"/>
        </w:rPr>
        <w:drawing>
          <wp:inline distT="0" distB="0" distL="0" distR="0">
            <wp:extent cx="5871210" cy="5205095"/>
            <wp:effectExtent l="0" t="0" r="15240" b="14605"/>
            <wp:docPr id="2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50D1B" w:rsidRDefault="00150D1B" w:rsidP="00150D1B">
      <w:pPr>
        <w:jc w:val="center"/>
        <w:rPr>
          <w:rFonts w:ascii="Calibri" w:hAnsi="Calibri"/>
          <w:b w:val="0"/>
          <w:sz w:val="22"/>
          <w:szCs w:val="22"/>
          <w:lang w:val="es-CL"/>
        </w:rPr>
      </w:pPr>
    </w:p>
    <w:p w:rsidR="00150D1B" w:rsidRDefault="00150D1B" w:rsidP="00150D1B">
      <w:pPr>
        <w:ind w:left="708"/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center"/>
        <w:rPr>
          <w:rFonts w:ascii="Calibri" w:hAnsi="Calibri"/>
          <w:sz w:val="22"/>
          <w:szCs w:val="22"/>
        </w:rPr>
      </w:pPr>
    </w:p>
    <w:p w:rsidR="00150D1B" w:rsidRDefault="00150D1B" w:rsidP="00150D1B">
      <w:pPr>
        <w:jc w:val="center"/>
        <w:rPr>
          <w:rFonts w:ascii="Calibri" w:hAnsi="Calibri"/>
          <w:sz w:val="22"/>
          <w:szCs w:val="22"/>
        </w:rPr>
      </w:pPr>
    </w:p>
    <w:p w:rsidR="00150D1B" w:rsidRDefault="00150D1B" w:rsidP="00150D1B">
      <w:pPr>
        <w:jc w:val="center"/>
        <w:rPr>
          <w:rFonts w:ascii="Calibri" w:hAnsi="Calibri"/>
          <w:sz w:val="22"/>
          <w:szCs w:val="22"/>
        </w:rPr>
      </w:pPr>
    </w:p>
    <w:p w:rsidR="00150D1B" w:rsidRDefault="00150D1B" w:rsidP="00150D1B">
      <w:pPr>
        <w:jc w:val="center"/>
        <w:rPr>
          <w:rFonts w:ascii="Calibri" w:hAnsi="Calibri"/>
          <w:sz w:val="22"/>
          <w:szCs w:val="22"/>
        </w:rPr>
      </w:pPr>
    </w:p>
    <w:p w:rsidR="00150D1B" w:rsidRDefault="00150D1B" w:rsidP="00150D1B">
      <w:pPr>
        <w:jc w:val="center"/>
        <w:rPr>
          <w:rFonts w:ascii="Calibri" w:hAnsi="Calibri"/>
          <w:sz w:val="22"/>
          <w:szCs w:val="22"/>
        </w:rPr>
      </w:pPr>
    </w:p>
    <w:p w:rsidR="00150D1B" w:rsidRDefault="00150D1B" w:rsidP="00150D1B">
      <w:pPr>
        <w:jc w:val="center"/>
        <w:rPr>
          <w:rFonts w:ascii="Calibri" w:hAnsi="Calibri"/>
          <w:sz w:val="22"/>
          <w:szCs w:val="22"/>
        </w:rPr>
      </w:pPr>
    </w:p>
    <w:p w:rsidR="00150D1B" w:rsidRPr="00AA37FB" w:rsidRDefault="00150D1B" w:rsidP="00150D1B">
      <w:pPr>
        <w:pStyle w:val="Ttulo1"/>
        <w:numPr>
          <w:ilvl w:val="0"/>
          <w:numId w:val="1"/>
        </w:numPr>
        <w:rPr>
          <w:color w:val="000000"/>
        </w:rPr>
      </w:pPr>
      <w:bookmarkStart w:id="20" w:name="_Toc481054905"/>
      <w:r w:rsidRPr="00AA37FB">
        <w:rPr>
          <w:color w:val="000000"/>
          <w:lang w:val="es-ES"/>
        </w:rPr>
        <w:lastRenderedPageBreak/>
        <w:t>RESULTADOS POR TIPO DE INDICADOR Y DE PROCESOS.</w:t>
      </w:r>
      <w:bookmarkEnd w:id="20"/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  <w:r w:rsidRPr="00C436C0">
        <w:rPr>
          <w:rFonts w:ascii="Calibri" w:hAnsi="Calibri"/>
          <w:sz w:val="22"/>
          <w:szCs w:val="22"/>
        </w:rPr>
        <w:t>Resultados por Tipo de Indicador</w:t>
      </w:r>
      <w:r w:rsidRPr="00C436C0">
        <w:rPr>
          <w:rFonts w:ascii="Calibri" w:hAnsi="Calibri"/>
          <w:b w:val="0"/>
          <w:sz w:val="22"/>
          <w:szCs w:val="22"/>
        </w:rPr>
        <w:t xml:space="preserve"> </w:t>
      </w: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El resultado de  los indicadores por eficiencia, efectividad y eficacia muestra un buen resultado por el cumplimiento de planes y programas de la Entidad en cuanto a los servicios ofrecidos,  oportunidad y control de recursos. (Ver Gráficos No. 5 y Tabla No.4)</w:t>
      </w:r>
    </w:p>
    <w:p w:rsidR="00150D1B" w:rsidRDefault="00150D1B" w:rsidP="00150D1B">
      <w:pPr>
        <w:jc w:val="center"/>
        <w:rPr>
          <w:rFonts w:ascii="Calibri" w:hAnsi="Calibri"/>
          <w:sz w:val="22"/>
          <w:szCs w:val="22"/>
        </w:rPr>
      </w:pPr>
    </w:p>
    <w:p w:rsidR="00150D1B" w:rsidRDefault="00150D1B" w:rsidP="00150D1B">
      <w:pPr>
        <w:jc w:val="center"/>
        <w:rPr>
          <w:rFonts w:ascii="Calibri" w:hAnsi="Calibri"/>
          <w:sz w:val="22"/>
          <w:szCs w:val="22"/>
          <w:lang w:val="es-CL"/>
        </w:rPr>
      </w:pPr>
    </w:p>
    <w:p w:rsidR="00150D1B" w:rsidRDefault="00150D1B" w:rsidP="00150D1B">
      <w:pPr>
        <w:jc w:val="center"/>
        <w:rPr>
          <w:rFonts w:ascii="Calibri" w:hAnsi="Calibri"/>
          <w:sz w:val="22"/>
          <w:szCs w:val="22"/>
          <w:lang w:val="es-CL"/>
        </w:rPr>
      </w:pPr>
    </w:p>
    <w:p w:rsidR="00150D1B" w:rsidRDefault="00150D1B" w:rsidP="00150D1B">
      <w:pPr>
        <w:jc w:val="center"/>
        <w:rPr>
          <w:rFonts w:ascii="Calibri" w:hAnsi="Calibri"/>
          <w:sz w:val="22"/>
          <w:szCs w:val="22"/>
          <w:lang w:val="es-CL"/>
        </w:rPr>
      </w:pPr>
      <w:r>
        <w:rPr>
          <w:rFonts w:ascii="Calibri" w:hAnsi="Calibri"/>
          <w:sz w:val="22"/>
          <w:szCs w:val="22"/>
          <w:lang w:val="es-CL"/>
        </w:rPr>
        <w:t>Gráfico No.5</w:t>
      </w:r>
      <w:r w:rsidRPr="00620A09">
        <w:rPr>
          <w:rFonts w:ascii="Calibri" w:hAnsi="Calibri"/>
          <w:sz w:val="22"/>
          <w:szCs w:val="22"/>
          <w:lang w:val="es-CL"/>
        </w:rPr>
        <w:t xml:space="preserve"> Comportamiento </w:t>
      </w:r>
      <w:r>
        <w:rPr>
          <w:rFonts w:ascii="Calibri" w:hAnsi="Calibri"/>
          <w:sz w:val="22"/>
          <w:szCs w:val="22"/>
          <w:lang w:val="es-CL"/>
        </w:rPr>
        <w:t>por Tipo de Indicador</w:t>
      </w:r>
    </w:p>
    <w:p w:rsidR="00150D1B" w:rsidRDefault="00150D1B" w:rsidP="00150D1B">
      <w:pPr>
        <w:jc w:val="center"/>
        <w:rPr>
          <w:rFonts w:ascii="Calibri" w:hAnsi="Calibri"/>
          <w:sz w:val="22"/>
          <w:szCs w:val="22"/>
          <w:lang w:val="es-CL"/>
        </w:rPr>
      </w:pPr>
    </w:p>
    <w:p w:rsidR="00150D1B" w:rsidRDefault="00150D1B" w:rsidP="00150D1B">
      <w:pPr>
        <w:jc w:val="center"/>
        <w:rPr>
          <w:rFonts w:ascii="Calibri" w:hAnsi="Calibri"/>
          <w:sz w:val="22"/>
          <w:szCs w:val="22"/>
          <w:lang w:val="es-CL"/>
        </w:rPr>
      </w:pPr>
    </w:p>
    <w:p w:rsidR="00150D1B" w:rsidRDefault="00150D1B" w:rsidP="00150D1B">
      <w:pPr>
        <w:jc w:val="center"/>
        <w:rPr>
          <w:rFonts w:ascii="Calibri" w:hAnsi="Calibri"/>
          <w:sz w:val="22"/>
          <w:szCs w:val="22"/>
          <w:lang w:val="es-CL"/>
        </w:rPr>
      </w:pPr>
    </w:p>
    <w:p w:rsidR="00150D1B" w:rsidRDefault="00150D1B" w:rsidP="00150D1B">
      <w:pPr>
        <w:jc w:val="center"/>
        <w:rPr>
          <w:rFonts w:ascii="Calibri" w:hAnsi="Calibri"/>
          <w:sz w:val="22"/>
          <w:szCs w:val="22"/>
          <w:lang w:val="es-CL"/>
        </w:rPr>
      </w:pPr>
      <w:r>
        <w:rPr>
          <w:noProof/>
          <w:lang w:val="es-CO" w:eastAsia="es-CO"/>
        </w:rPr>
        <w:drawing>
          <wp:inline distT="0" distB="0" distL="0" distR="0">
            <wp:extent cx="5629275" cy="3905250"/>
            <wp:effectExtent l="0" t="0" r="0" b="0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50D1B" w:rsidRDefault="00150D1B" w:rsidP="00150D1B">
      <w:pPr>
        <w:jc w:val="center"/>
        <w:rPr>
          <w:rFonts w:ascii="Calibri" w:hAnsi="Calibri"/>
          <w:sz w:val="22"/>
          <w:szCs w:val="22"/>
          <w:lang w:val="es-CL"/>
        </w:rPr>
      </w:pPr>
    </w:p>
    <w:p w:rsidR="00150D1B" w:rsidRDefault="00150D1B" w:rsidP="00150D1B">
      <w:pPr>
        <w:jc w:val="center"/>
        <w:rPr>
          <w:rFonts w:ascii="Calibri" w:hAnsi="Calibri"/>
          <w:sz w:val="22"/>
          <w:szCs w:val="22"/>
          <w:lang w:val="es-CL"/>
        </w:rPr>
      </w:pPr>
    </w:p>
    <w:p w:rsidR="00150D1B" w:rsidRDefault="00150D1B" w:rsidP="00150D1B">
      <w:pPr>
        <w:jc w:val="center"/>
        <w:rPr>
          <w:rFonts w:ascii="Calibri" w:hAnsi="Calibri"/>
          <w:sz w:val="22"/>
          <w:szCs w:val="22"/>
          <w:lang w:val="es-CL"/>
        </w:rPr>
      </w:pPr>
    </w:p>
    <w:p w:rsidR="00150D1B" w:rsidRDefault="00150D1B" w:rsidP="00150D1B">
      <w:pPr>
        <w:jc w:val="center"/>
        <w:rPr>
          <w:rFonts w:ascii="Calibri" w:hAnsi="Calibri"/>
          <w:sz w:val="22"/>
          <w:szCs w:val="22"/>
          <w:lang w:val="es-CL"/>
        </w:rPr>
      </w:pPr>
    </w:p>
    <w:p w:rsidR="00150D1B" w:rsidRPr="007E6587" w:rsidRDefault="00150D1B" w:rsidP="00150D1B">
      <w:pPr>
        <w:jc w:val="center"/>
        <w:rPr>
          <w:rFonts w:ascii="Calibri" w:hAnsi="Calibri"/>
          <w:sz w:val="22"/>
          <w:szCs w:val="22"/>
        </w:rPr>
      </w:pPr>
    </w:p>
    <w:p w:rsidR="00150D1B" w:rsidRDefault="00150D1B" w:rsidP="00150D1B">
      <w:pPr>
        <w:jc w:val="center"/>
        <w:rPr>
          <w:rFonts w:ascii="Calibri" w:hAnsi="Calibri"/>
          <w:sz w:val="22"/>
          <w:szCs w:val="22"/>
          <w:lang w:val="es-CL"/>
        </w:rPr>
      </w:pPr>
    </w:p>
    <w:p w:rsidR="00150D1B" w:rsidRDefault="00150D1B" w:rsidP="00150D1B">
      <w:pPr>
        <w:jc w:val="center"/>
        <w:rPr>
          <w:rFonts w:ascii="Calibri" w:hAnsi="Calibri"/>
          <w:sz w:val="22"/>
          <w:szCs w:val="22"/>
          <w:lang w:val="es-CL"/>
        </w:rPr>
      </w:pPr>
    </w:p>
    <w:p w:rsidR="00150D1B" w:rsidRPr="00620A09" w:rsidRDefault="00150D1B" w:rsidP="00150D1B">
      <w:pPr>
        <w:jc w:val="center"/>
        <w:rPr>
          <w:rFonts w:ascii="Calibri" w:hAnsi="Calibri"/>
          <w:sz w:val="22"/>
          <w:szCs w:val="22"/>
          <w:lang w:val="es-CL"/>
        </w:rPr>
      </w:pPr>
    </w:p>
    <w:p w:rsidR="00150D1B" w:rsidRDefault="00150D1B" w:rsidP="00150D1B">
      <w:pPr>
        <w:jc w:val="both"/>
        <w:rPr>
          <w:rFonts w:ascii="Calibri" w:hAnsi="Calibri"/>
          <w:szCs w:val="22"/>
        </w:rPr>
      </w:pPr>
    </w:p>
    <w:p w:rsidR="00150D1B" w:rsidRDefault="00150D1B" w:rsidP="00150D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                                                Tabla No. 4 </w:t>
      </w:r>
      <w:r w:rsidRPr="00C436C0">
        <w:rPr>
          <w:rFonts w:ascii="Calibri" w:hAnsi="Calibri"/>
          <w:sz w:val="22"/>
          <w:szCs w:val="22"/>
        </w:rPr>
        <w:t xml:space="preserve">Resultados por </w:t>
      </w:r>
      <w:r>
        <w:rPr>
          <w:rFonts w:ascii="Calibri" w:hAnsi="Calibri"/>
          <w:sz w:val="22"/>
          <w:szCs w:val="22"/>
        </w:rPr>
        <w:t>Tipo de Indicador y de Procesos</w:t>
      </w:r>
    </w:p>
    <w:tbl>
      <w:tblPr>
        <w:tblW w:w="7513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6"/>
        <w:gridCol w:w="1300"/>
        <w:gridCol w:w="1431"/>
        <w:gridCol w:w="1276"/>
      </w:tblGrid>
      <w:tr w:rsidR="00150D1B" w:rsidRPr="00F6367C" w:rsidTr="00F802C9">
        <w:trPr>
          <w:trHeight w:val="46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50D1B" w:rsidRPr="00F6367C" w:rsidRDefault="00150D1B" w:rsidP="00F802C9">
            <w:pPr>
              <w:jc w:val="center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  <w:t>NOMBRE DEL PROCESO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150D1B" w:rsidRPr="00F6367C" w:rsidRDefault="00150D1B" w:rsidP="00F802C9">
            <w:pPr>
              <w:jc w:val="center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  <w:t>EFICIENCIA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150D1B" w:rsidRPr="00F6367C" w:rsidRDefault="00150D1B" w:rsidP="00F802C9">
            <w:pPr>
              <w:jc w:val="center"/>
              <w:rPr>
                <w:rFonts w:ascii="Calibri" w:hAnsi="Calibri" w:cs="Times New Roman"/>
                <w:bCs/>
                <w:color w:val="000000"/>
                <w:sz w:val="20"/>
                <w:szCs w:val="20"/>
                <w:lang w:val="es-CO" w:eastAsia="es-CO"/>
              </w:rPr>
            </w:pPr>
            <w:r w:rsidRPr="00F6367C">
              <w:rPr>
                <w:rFonts w:ascii="Calibri" w:hAnsi="Calibri" w:cs="Times New Roman"/>
                <w:bCs/>
                <w:color w:val="000000"/>
                <w:sz w:val="20"/>
                <w:szCs w:val="20"/>
                <w:lang w:val="es-CO" w:eastAsia="es-CO"/>
              </w:rPr>
              <w:t>EFECTIVIDAD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150D1B" w:rsidRPr="00F6367C" w:rsidRDefault="00150D1B" w:rsidP="00F802C9">
            <w:pPr>
              <w:jc w:val="center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  <w:t>EFICACIA</w:t>
            </w:r>
          </w:p>
        </w:tc>
      </w:tr>
      <w:tr w:rsidR="00150D1B" w:rsidRPr="00F6367C" w:rsidTr="00F802C9">
        <w:trPr>
          <w:trHeight w:val="63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F6367C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Normalización y Culturizaci</w:t>
            </w:r>
            <w: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ó</w:t>
            </w: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n Contable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F6367C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80,00%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  <w:hideMark/>
          </w:tcPr>
          <w:p w:rsidR="00150D1B" w:rsidRPr="00F6367C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  <w:hideMark/>
          </w:tcPr>
          <w:p w:rsidR="00150D1B" w:rsidRPr="00F6367C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150D1B" w:rsidRPr="00F6367C" w:rsidTr="00F802C9">
        <w:trPr>
          <w:trHeight w:val="63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F6367C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Gestión Humana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F6367C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100,00%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  <w:hideMark/>
          </w:tcPr>
          <w:p w:rsidR="00150D1B" w:rsidRPr="00F6367C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F6367C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93,28%</w:t>
            </w:r>
          </w:p>
        </w:tc>
      </w:tr>
      <w:tr w:rsidR="00150D1B" w:rsidRPr="00F6367C" w:rsidTr="00F802C9">
        <w:trPr>
          <w:trHeight w:val="42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F6367C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Gestión Recursos Financieros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  <w:hideMark/>
          </w:tcPr>
          <w:p w:rsidR="00150D1B" w:rsidRPr="00F6367C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F6367C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99,62%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F6367C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99,14%</w:t>
            </w:r>
          </w:p>
        </w:tc>
      </w:tr>
      <w:tr w:rsidR="00150D1B" w:rsidRPr="00F6367C" w:rsidTr="00F802C9">
        <w:trPr>
          <w:trHeight w:val="54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F6367C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Consolidación de la Información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F6367C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98,50%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  <w:hideMark/>
          </w:tcPr>
          <w:p w:rsidR="00150D1B" w:rsidRPr="00F6367C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F6367C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100,00%</w:t>
            </w:r>
          </w:p>
        </w:tc>
      </w:tr>
      <w:tr w:rsidR="00150D1B" w:rsidRPr="00F6367C" w:rsidTr="00F802C9">
        <w:trPr>
          <w:trHeight w:val="42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F6367C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 xml:space="preserve">Gestión </w:t>
            </w:r>
            <w:proofErr w:type="spellStart"/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TICs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  <w:hideMark/>
          </w:tcPr>
          <w:p w:rsidR="00150D1B" w:rsidRPr="00F6367C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F6367C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99,38%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F6367C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86.96</w:t>
            </w: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%</w:t>
            </w:r>
          </w:p>
        </w:tc>
      </w:tr>
      <w:tr w:rsidR="00150D1B" w:rsidRPr="00F6367C" w:rsidTr="00F802C9">
        <w:trPr>
          <w:trHeight w:val="42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F6367C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Centralización de la Información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  <w:hideMark/>
          </w:tcPr>
          <w:p w:rsidR="00150D1B" w:rsidRPr="00F6367C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  <w:hideMark/>
          </w:tcPr>
          <w:p w:rsidR="00150D1B" w:rsidRPr="00F6367C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F6367C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96,70%</w:t>
            </w:r>
          </w:p>
        </w:tc>
      </w:tr>
      <w:tr w:rsidR="00150D1B" w:rsidRPr="00F6367C" w:rsidTr="00F802C9">
        <w:trPr>
          <w:trHeight w:val="30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F6367C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Planeación Integral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  <w:hideMark/>
          </w:tcPr>
          <w:p w:rsidR="00150D1B" w:rsidRPr="00F6367C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  <w:hideMark/>
          </w:tcPr>
          <w:p w:rsidR="00150D1B" w:rsidRPr="00F6367C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F6367C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95,45%</w:t>
            </w:r>
          </w:p>
        </w:tc>
      </w:tr>
      <w:tr w:rsidR="00150D1B" w:rsidRPr="00F6367C" w:rsidTr="00F802C9">
        <w:trPr>
          <w:trHeight w:val="51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F6367C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Gestión Administrativa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F6367C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100,00%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F6367C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90,00%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  <w:hideMark/>
          </w:tcPr>
          <w:p w:rsidR="00150D1B" w:rsidRPr="00F6367C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150D1B" w:rsidRPr="00F6367C" w:rsidTr="00F802C9">
        <w:trPr>
          <w:trHeight w:val="495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F6367C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Gestión Jurídica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F6367C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100,00%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F6367C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  <w:hideMark/>
          </w:tcPr>
          <w:p w:rsidR="00150D1B" w:rsidRPr="00F6367C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150D1B" w:rsidRPr="00F6367C" w:rsidTr="00F802C9">
        <w:trPr>
          <w:trHeight w:val="42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F6367C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Comunicación Pública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  <w:hideMark/>
          </w:tcPr>
          <w:p w:rsidR="00150D1B" w:rsidRPr="00F6367C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  <w:hideMark/>
          </w:tcPr>
          <w:p w:rsidR="00150D1B" w:rsidRPr="00F6367C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  <w:hideMark/>
          </w:tcPr>
          <w:p w:rsidR="00150D1B" w:rsidRPr="00F6367C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150D1B" w:rsidRPr="00F6367C" w:rsidTr="00F802C9">
        <w:trPr>
          <w:trHeight w:val="45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F6367C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Control y Evaluación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1B" w:rsidRPr="00F6367C" w:rsidRDefault="00150D1B" w:rsidP="00F802C9">
            <w:pPr>
              <w:jc w:val="right"/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100,00%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  <w:hideMark/>
          </w:tcPr>
          <w:p w:rsidR="00150D1B" w:rsidRPr="00F6367C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  <w:hideMark/>
          </w:tcPr>
          <w:p w:rsidR="00150D1B" w:rsidRPr="00F6367C" w:rsidRDefault="00150D1B" w:rsidP="00F802C9">
            <w:pPr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 w:val="0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150D1B" w:rsidRPr="00F6367C" w:rsidTr="00F802C9">
        <w:trPr>
          <w:trHeight w:val="435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50D1B" w:rsidRPr="00F6367C" w:rsidRDefault="00150D1B" w:rsidP="00F802C9">
            <w:pPr>
              <w:jc w:val="center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  <w:t>AÑO 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50D1B" w:rsidRPr="00F6367C" w:rsidRDefault="00150D1B" w:rsidP="00F802C9">
            <w:pPr>
              <w:jc w:val="center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  <w:t>96,42%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50D1B" w:rsidRPr="00F6367C" w:rsidRDefault="00150D1B" w:rsidP="00F802C9">
            <w:pPr>
              <w:jc w:val="center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  <w:t>97,25%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50D1B" w:rsidRPr="00F6367C" w:rsidRDefault="00150D1B" w:rsidP="00F802C9">
            <w:pPr>
              <w:jc w:val="center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F6367C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  <w:t>9</w:t>
            </w:r>
            <w:r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  <w:t>5</w:t>
            </w:r>
            <w:r w:rsidRPr="00F6367C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  <w:t>,</w:t>
            </w:r>
            <w:r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  <w:t>26</w:t>
            </w:r>
            <w:r w:rsidRPr="00F6367C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s-CO" w:eastAsia="es-CO"/>
              </w:rPr>
              <w:t>%</w:t>
            </w:r>
          </w:p>
        </w:tc>
      </w:tr>
    </w:tbl>
    <w:p w:rsidR="00150D1B" w:rsidRDefault="00150D1B" w:rsidP="00150D1B">
      <w:pPr>
        <w:rPr>
          <w:rFonts w:ascii="Calibri" w:hAnsi="Calibri"/>
          <w:sz w:val="22"/>
          <w:szCs w:val="22"/>
        </w:rPr>
      </w:pPr>
    </w:p>
    <w:p w:rsidR="00150D1B" w:rsidRDefault="00150D1B" w:rsidP="00150D1B">
      <w:pPr>
        <w:numPr>
          <w:ilvl w:val="0"/>
          <w:numId w:val="4"/>
        </w:numPr>
        <w:jc w:val="both"/>
        <w:rPr>
          <w:rFonts w:ascii="Calibri" w:hAnsi="Calibri"/>
          <w:b w:val="0"/>
          <w:sz w:val="22"/>
          <w:szCs w:val="22"/>
        </w:rPr>
      </w:pPr>
      <w:r w:rsidRPr="00CD6110">
        <w:rPr>
          <w:rFonts w:ascii="Calibri" w:hAnsi="Calibri"/>
          <w:b w:val="0"/>
          <w:sz w:val="22"/>
          <w:szCs w:val="22"/>
        </w:rPr>
        <w:t xml:space="preserve">Para mejorar la efectividad </w:t>
      </w:r>
      <w:r>
        <w:rPr>
          <w:rFonts w:ascii="Calibri" w:hAnsi="Calibri"/>
          <w:b w:val="0"/>
          <w:sz w:val="22"/>
          <w:szCs w:val="22"/>
        </w:rPr>
        <w:t>es necesario tomar acciones frente al resultado del indicador</w:t>
      </w:r>
      <w:r w:rsidRPr="00983654">
        <w:t xml:space="preserve"> </w:t>
      </w:r>
      <w:r>
        <w:t>“</w:t>
      </w:r>
      <w:r w:rsidRPr="00983654">
        <w:rPr>
          <w:rFonts w:ascii="Calibri" w:hAnsi="Calibri"/>
          <w:b w:val="0"/>
          <w:sz w:val="22"/>
          <w:szCs w:val="22"/>
        </w:rPr>
        <w:t>SATISFACCION A USUARIOS DE PQRS</w:t>
      </w:r>
      <w:r>
        <w:rPr>
          <w:rFonts w:ascii="Calibri" w:hAnsi="Calibri"/>
          <w:b w:val="0"/>
          <w:sz w:val="22"/>
          <w:szCs w:val="22"/>
        </w:rPr>
        <w:t>” con un 80% ya que 4 de la PQRS presentadas no fueron atendidas dentro de los términos de tiempo.</w:t>
      </w:r>
    </w:p>
    <w:p w:rsidR="00150D1B" w:rsidRDefault="00150D1B" w:rsidP="00150D1B">
      <w:pPr>
        <w:ind w:left="720"/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numPr>
          <w:ilvl w:val="0"/>
          <w:numId w:val="4"/>
        </w:num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Con respecto a la Eficiencia es necesario revisar el cumplimiento del indicador “</w:t>
      </w:r>
      <w:r w:rsidRPr="00983654">
        <w:rPr>
          <w:rFonts w:ascii="Calibri" w:hAnsi="Calibri"/>
          <w:b w:val="0"/>
          <w:sz w:val="22"/>
          <w:szCs w:val="22"/>
        </w:rPr>
        <w:t>OPORTUNIDAD EN LA EMISION DE CONCEPTOS Y SOLUCION DE CONSULTAS</w:t>
      </w:r>
      <w:r>
        <w:rPr>
          <w:rFonts w:ascii="Calibri" w:hAnsi="Calibri"/>
          <w:b w:val="0"/>
          <w:sz w:val="22"/>
          <w:szCs w:val="22"/>
        </w:rPr>
        <w:t>” con una 80% con respecto al tiempo de respuesta que se tiene estipulado de 25 días.</w:t>
      </w:r>
    </w:p>
    <w:p w:rsidR="00150D1B" w:rsidRDefault="00150D1B" w:rsidP="00150D1B">
      <w:pPr>
        <w:pStyle w:val="Prrafodelista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ind w:left="720"/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numPr>
          <w:ilvl w:val="0"/>
          <w:numId w:val="4"/>
        </w:num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Para mejorar Eficacia de nuevo hay que tomar medidas para la asistencia a los eventos de Bienestar social ya que el indicador “</w:t>
      </w:r>
      <w:r w:rsidRPr="00983654">
        <w:rPr>
          <w:rFonts w:ascii="Calibri" w:hAnsi="Calibri"/>
          <w:b w:val="0"/>
          <w:sz w:val="22"/>
          <w:szCs w:val="22"/>
        </w:rPr>
        <w:t>CUBRIMIENTO PLAN  BIENESTAR SOCIAL E INCENTIVOS</w:t>
      </w:r>
      <w:r>
        <w:rPr>
          <w:rFonts w:ascii="Calibri" w:hAnsi="Calibri"/>
          <w:b w:val="0"/>
          <w:sz w:val="22"/>
          <w:szCs w:val="22"/>
        </w:rPr>
        <w:t>” tuvo un resultado del 80.35%</w:t>
      </w:r>
    </w:p>
    <w:p w:rsidR="00150D1B" w:rsidRDefault="00150D1B" w:rsidP="00150D1B">
      <w:pPr>
        <w:rPr>
          <w:rFonts w:ascii="Calibri" w:hAnsi="Calibri"/>
          <w:sz w:val="22"/>
          <w:szCs w:val="22"/>
        </w:rPr>
      </w:pPr>
    </w:p>
    <w:p w:rsidR="00150D1B" w:rsidRPr="00AA37FB" w:rsidRDefault="00150D1B" w:rsidP="00150D1B">
      <w:pPr>
        <w:pStyle w:val="Ttulo1"/>
        <w:numPr>
          <w:ilvl w:val="0"/>
          <w:numId w:val="1"/>
        </w:numPr>
        <w:rPr>
          <w:color w:val="000000"/>
          <w:lang w:val="es-ES"/>
        </w:rPr>
      </w:pPr>
      <w:bookmarkStart w:id="21" w:name="_Toc481054906"/>
      <w:r w:rsidRPr="00AA37FB">
        <w:rPr>
          <w:color w:val="000000"/>
        </w:rPr>
        <w:t>MODIFICACIONES PLAN ESTRAT</w:t>
      </w:r>
      <w:r>
        <w:rPr>
          <w:color w:val="000000"/>
          <w:lang w:val="es-CO"/>
        </w:rPr>
        <w:t>É</w:t>
      </w:r>
      <w:r w:rsidRPr="00AA37FB">
        <w:rPr>
          <w:color w:val="000000"/>
        </w:rPr>
        <w:t>GICO INSTITUCIONAL 2013-2018</w:t>
      </w:r>
      <w:bookmarkEnd w:id="21"/>
    </w:p>
    <w:p w:rsidR="00150D1B" w:rsidRDefault="00150D1B" w:rsidP="00150D1B">
      <w:pPr>
        <w:rPr>
          <w:lang w:eastAsia="x-none"/>
        </w:rPr>
      </w:pPr>
    </w:p>
    <w:p w:rsidR="00150D1B" w:rsidRDefault="00150D1B" w:rsidP="00150D1B">
      <w:pPr>
        <w:rPr>
          <w:lang w:eastAsia="x-none"/>
        </w:rPr>
      </w:pPr>
    </w:p>
    <w:p w:rsidR="00150D1B" w:rsidRPr="00E63D38" w:rsidRDefault="00150D1B" w:rsidP="00150D1B">
      <w:pPr>
        <w:pStyle w:val="NormalWeb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s-CL"/>
        </w:rPr>
      </w:pPr>
      <w:r>
        <w:rPr>
          <w:rFonts w:ascii="Calibri" w:hAnsi="Calibri"/>
          <w:sz w:val="22"/>
          <w:szCs w:val="22"/>
          <w:lang w:val="es-CL"/>
        </w:rPr>
        <w:t>Se realizó la actualización del Plan de Acción Vigencia 2017 publicado en la Web, incluyendo columnas de Responsable de cada Plan Estratégico y Operativo y detallando la Fecha de inicio y de finalización de cada actividad. Lo anterior atendiendo Plan de Mejoramiento por Atención a observaciones de FURAG.</w:t>
      </w:r>
    </w:p>
    <w:p w:rsidR="00150D1B" w:rsidRDefault="00150D1B" w:rsidP="00150D1B">
      <w:pPr>
        <w:pStyle w:val="NormalWeb"/>
        <w:spacing w:before="58" w:beforeAutospacing="0" w:after="0" w:afterAutospacing="0"/>
        <w:textAlignment w:val="baseline"/>
      </w:pPr>
    </w:p>
    <w:p w:rsidR="00150D1B" w:rsidRPr="005E0269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pStyle w:val="NormalWeb"/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</w:p>
    <w:p w:rsidR="00150D1B" w:rsidRDefault="00150D1B" w:rsidP="00150D1B">
      <w:pPr>
        <w:pStyle w:val="NormalWeb"/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</w:p>
    <w:p w:rsidR="00150D1B" w:rsidRDefault="00150D1B" w:rsidP="00150D1B">
      <w:pPr>
        <w:pStyle w:val="NormalWeb"/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</w:p>
    <w:p w:rsidR="00150D1B" w:rsidRDefault="00150D1B" w:rsidP="00150D1B">
      <w:pPr>
        <w:pStyle w:val="NormalWeb"/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</w:p>
    <w:p w:rsidR="00150D1B" w:rsidRDefault="00150D1B" w:rsidP="00150D1B">
      <w:pPr>
        <w:pStyle w:val="NormalWeb"/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</w:p>
    <w:p w:rsidR="00150D1B" w:rsidRDefault="00150D1B" w:rsidP="00150D1B">
      <w:pPr>
        <w:pStyle w:val="NormalWeb"/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</w:p>
    <w:p w:rsidR="00150D1B" w:rsidRDefault="00150D1B" w:rsidP="00150D1B">
      <w:pPr>
        <w:pStyle w:val="NormalWeb"/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</w:p>
    <w:p w:rsidR="00150D1B" w:rsidRDefault="00150D1B" w:rsidP="00150D1B">
      <w:pPr>
        <w:pStyle w:val="NormalWeb"/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</w:p>
    <w:p w:rsidR="00150D1B" w:rsidRPr="00AA37FB" w:rsidRDefault="00150D1B" w:rsidP="00150D1B">
      <w:pPr>
        <w:pStyle w:val="Ttulo1"/>
        <w:numPr>
          <w:ilvl w:val="0"/>
          <w:numId w:val="1"/>
        </w:numPr>
        <w:rPr>
          <w:color w:val="000000"/>
          <w:lang w:val="es-ES"/>
        </w:rPr>
      </w:pPr>
      <w:bookmarkStart w:id="22" w:name="_Toc481054907"/>
      <w:r w:rsidRPr="00AA37FB">
        <w:rPr>
          <w:color w:val="000000"/>
          <w:lang w:val="es-CO"/>
        </w:rPr>
        <w:t>C</w:t>
      </w:r>
      <w:r w:rsidRPr="00AA37FB">
        <w:rPr>
          <w:color w:val="000000"/>
        </w:rPr>
        <w:t>ONCLUSIONES</w:t>
      </w:r>
      <w:r w:rsidRPr="00AA37FB">
        <w:rPr>
          <w:color w:val="000000"/>
          <w:lang w:val="es-ES"/>
        </w:rPr>
        <w:t xml:space="preserve"> Y RECOMENDACIONES</w:t>
      </w:r>
      <w:bookmarkEnd w:id="22"/>
    </w:p>
    <w:p w:rsidR="00150D1B" w:rsidRDefault="00150D1B" w:rsidP="00150D1B">
      <w:pPr>
        <w:rPr>
          <w:lang w:eastAsia="x-none"/>
        </w:rPr>
      </w:pPr>
    </w:p>
    <w:p w:rsidR="00150D1B" w:rsidRDefault="00150D1B" w:rsidP="00150D1B">
      <w:pPr>
        <w:rPr>
          <w:lang w:eastAsia="x-none"/>
        </w:rPr>
      </w:pPr>
    </w:p>
    <w:p w:rsidR="00150D1B" w:rsidRPr="00942E22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numPr>
          <w:ilvl w:val="0"/>
          <w:numId w:val="3"/>
        </w:num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T</w:t>
      </w:r>
      <w:r w:rsidRPr="006704AA">
        <w:rPr>
          <w:rFonts w:ascii="Calibri" w:hAnsi="Calibri"/>
          <w:b w:val="0"/>
          <w:sz w:val="22"/>
          <w:szCs w:val="22"/>
        </w:rPr>
        <w:t>odas  las actividades del Plan de Acción para el</w:t>
      </w:r>
      <w:r>
        <w:rPr>
          <w:rFonts w:ascii="Calibri" w:hAnsi="Calibri"/>
          <w:b w:val="0"/>
          <w:sz w:val="22"/>
          <w:szCs w:val="22"/>
        </w:rPr>
        <w:t xml:space="preserve"> I Trimestre del</w:t>
      </w:r>
      <w:r w:rsidRPr="006704AA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año 2017</w:t>
      </w:r>
      <w:r w:rsidRPr="006704AA">
        <w:rPr>
          <w:rFonts w:ascii="Calibri" w:hAnsi="Calibri"/>
          <w:b w:val="0"/>
          <w:sz w:val="22"/>
          <w:szCs w:val="22"/>
        </w:rPr>
        <w:t xml:space="preserve">, se cumplieron a satisfacción en el tiempo programado lo que muestra una buena gestión de la CGN.   </w:t>
      </w:r>
    </w:p>
    <w:p w:rsidR="00150D1B" w:rsidRDefault="00150D1B" w:rsidP="00150D1B">
      <w:pPr>
        <w:ind w:left="720"/>
        <w:jc w:val="both"/>
        <w:rPr>
          <w:rFonts w:ascii="Calibri" w:hAnsi="Calibri"/>
          <w:b w:val="0"/>
          <w:sz w:val="22"/>
          <w:szCs w:val="22"/>
        </w:rPr>
      </w:pPr>
    </w:p>
    <w:p w:rsidR="00150D1B" w:rsidRPr="00AE7F85" w:rsidRDefault="00150D1B" w:rsidP="00150D1B">
      <w:pPr>
        <w:numPr>
          <w:ilvl w:val="0"/>
          <w:numId w:val="3"/>
        </w:numPr>
        <w:jc w:val="both"/>
        <w:rPr>
          <w:rFonts w:ascii="Calibri" w:hAnsi="Calibri"/>
          <w:b w:val="0"/>
          <w:sz w:val="22"/>
          <w:szCs w:val="22"/>
        </w:rPr>
      </w:pPr>
      <w:r w:rsidRPr="006704AA">
        <w:rPr>
          <w:rFonts w:ascii="Calibri" w:hAnsi="Calibri"/>
          <w:b w:val="0"/>
          <w:sz w:val="22"/>
          <w:szCs w:val="22"/>
        </w:rPr>
        <w:t>El total de la ejecución de los plan</w:t>
      </w:r>
      <w:r>
        <w:rPr>
          <w:rFonts w:ascii="Calibri" w:hAnsi="Calibri"/>
          <w:b w:val="0"/>
          <w:sz w:val="22"/>
          <w:szCs w:val="22"/>
        </w:rPr>
        <w:t>es respecto al PEI Vigencia 2017</w:t>
      </w:r>
      <w:r w:rsidRPr="006704AA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es adecuada puesto que se alcanzó un 22.06</w:t>
      </w:r>
      <w:r w:rsidRPr="006704AA">
        <w:rPr>
          <w:rFonts w:ascii="Calibri" w:hAnsi="Calibri"/>
          <w:b w:val="0"/>
          <w:sz w:val="22"/>
          <w:szCs w:val="22"/>
        </w:rPr>
        <w:t>%</w:t>
      </w:r>
      <w:r>
        <w:rPr>
          <w:rFonts w:ascii="Calibri" w:hAnsi="Calibri"/>
          <w:b w:val="0"/>
          <w:sz w:val="22"/>
          <w:szCs w:val="22"/>
        </w:rPr>
        <w:t xml:space="preserve"> de 25.00% programado para este periodo</w:t>
      </w:r>
      <w:r w:rsidRPr="00AE7F85">
        <w:rPr>
          <w:rFonts w:ascii="Calibri" w:hAnsi="Calibri"/>
          <w:b w:val="0"/>
          <w:sz w:val="22"/>
          <w:szCs w:val="22"/>
        </w:rPr>
        <w:t xml:space="preserve"> </w:t>
      </w:r>
    </w:p>
    <w:p w:rsidR="00150D1B" w:rsidRPr="00AE7F85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Pr="000C5339" w:rsidRDefault="00150D1B" w:rsidP="00150D1B">
      <w:pPr>
        <w:numPr>
          <w:ilvl w:val="0"/>
          <w:numId w:val="4"/>
        </w:numPr>
        <w:jc w:val="both"/>
        <w:rPr>
          <w:rFonts w:ascii="Calibri" w:hAnsi="Calibri"/>
          <w:b w:val="0"/>
          <w:sz w:val="22"/>
          <w:szCs w:val="22"/>
        </w:rPr>
      </w:pPr>
      <w:r w:rsidRPr="00AE7F85">
        <w:rPr>
          <w:rFonts w:ascii="Calibri" w:hAnsi="Calibri"/>
          <w:b w:val="0"/>
          <w:sz w:val="22"/>
          <w:szCs w:val="22"/>
        </w:rPr>
        <w:t>Los indicadores de Gestión contemplados en</w:t>
      </w:r>
      <w:r>
        <w:rPr>
          <w:rFonts w:ascii="Calibri" w:hAnsi="Calibri"/>
          <w:b w:val="0"/>
          <w:sz w:val="22"/>
          <w:szCs w:val="22"/>
        </w:rPr>
        <w:t xml:space="preserve"> el Cuadro de Mando Integral, </w:t>
      </w:r>
      <w:r w:rsidRPr="00AE7F85">
        <w:rPr>
          <w:rFonts w:ascii="Calibri" w:hAnsi="Calibri"/>
          <w:b w:val="0"/>
          <w:sz w:val="22"/>
          <w:szCs w:val="22"/>
        </w:rPr>
        <w:t xml:space="preserve">arrojan un buen resultado en promedio de alcance de perspectivas así: “Estado y Partes Interesadas”: </w:t>
      </w:r>
      <w:r>
        <w:rPr>
          <w:rFonts w:ascii="Calibri" w:hAnsi="Calibri"/>
          <w:b w:val="0"/>
          <w:sz w:val="22"/>
          <w:szCs w:val="22"/>
        </w:rPr>
        <w:t>90.9</w:t>
      </w:r>
      <w:r w:rsidRPr="00AE7F85">
        <w:rPr>
          <w:rFonts w:ascii="Calibri" w:hAnsi="Calibri"/>
          <w:b w:val="0"/>
          <w:sz w:val="22"/>
          <w:szCs w:val="22"/>
        </w:rPr>
        <w:t>%. “Financiera”: 9</w:t>
      </w:r>
      <w:r>
        <w:rPr>
          <w:rFonts w:ascii="Calibri" w:hAnsi="Calibri"/>
          <w:b w:val="0"/>
          <w:sz w:val="22"/>
          <w:szCs w:val="22"/>
        </w:rPr>
        <w:t>9.4</w:t>
      </w:r>
      <w:r w:rsidRPr="00AE7F85">
        <w:rPr>
          <w:rFonts w:ascii="Calibri" w:hAnsi="Calibri"/>
          <w:b w:val="0"/>
          <w:sz w:val="22"/>
          <w:szCs w:val="22"/>
        </w:rPr>
        <w:t xml:space="preserve">% “Clientes (Usuarios y Comunidad): </w:t>
      </w:r>
      <w:r>
        <w:rPr>
          <w:rFonts w:ascii="Calibri" w:hAnsi="Calibri"/>
          <w:b w:val="0"/>
          <w:sz w:val="22"/>
          <w:szCs w:val="22"/>
        </w:rPr>
        <w:t>89</w:t>
      </w:r>
      <w:r w:rsidRPr="00AE7F85">
        <w:rPr>
          <w:rFonts w:ascii="Calibri" w:hAnsi="Calibri"/>
          <w:b w:val="0"/>
          <w:sz w:val="22"/>
          <w:szCs w:val="22"/>
        </w:rPr>
        <w:t>.</w:t>
      </w:r>
      <w:r>
        <w:rPr>
          <w:rFonts w:ascii="Calibri" w:hAnsi="Calibri"/>
          <w:b w:val="0"/>
          <w:sz w:val="22"/>
          <w:szCs w:val="22"/>
        </w:rPr>
        <w:t>6</w:t>
      </w:r>
      <w:r w:rsidRPr="00AE7F85">
        <w:rPr>
          <w:rFonts w:ascii="Calibri" w:hAnsi="Calibri"/>
          <w:b w:val="0"/>
          <w:sz w:val="22"/>
          <w:szCs w:val="22"/>
        </w:rPr>
        <w:t>%, “Procesos”: 9</w:t>
      </w:r>
      <w:r>
        <w:rPr>
          <w:rFonts w:ascii="Calibri" w:hAnsi="Calibri"/>
          <w:b w:val="0"/>
          <w:sz w:val="22"/>
          <w:szCs w:val="22"/>
        </w:rPr>
        <w:t>7</w:t>
      </w:r>
      <w:r w:rsidRPr="00AE7F85">
        <w:rPr>
          <w:rFonts w:ascii="Calibri" w:hAnsi="Calibri"/>
          <w:b w:val="0"/>
          <w:sz w:val="22"/>
          <w:szCs w:val="22"/>
        </w:rPr>
        <w:t>.</w:t>
      </w:r>
      <w:r>
        <w:rPr>
          <w:rFonts w:ascii="Calibri" w:hAnsi="Calibri"/>
          <w:b w:val="0"/>
          <w:sz w:val="22"/>
          <w:szCs w:val="22"/>
        </w:rPr>
        <w:t>8</w:t>
      </w:r>
      <w:r w:rsidRPr="00AE7F85">
        <w:rPr>
          <w:rFonts w:ascii="Calibri" w:hAnsi="Calibri"/>
          <w:b w:val="0"/>
          <w:sz w:val="22"/>
          <w:szCs w:val="22"/>
        </w:rPr>
        <w:t>% y “Potenciales” con un 98.</w:t>
      </w:r>
      <w:r>
        <w:rPr>
          <w:rFonts w:ascii="Calibri" w:hAnsi="Calibri"/>
          <w:b w:val="0"/>
          <w:sz w:val="22"/>
          <w:szCs w:val="22"/>
        </w:rPr>
        <w:t>16</w:t>
      </w:r>
      <w:r w:rsidRPr="00AE7F85">
        <w:rPr>
          <w:rFonts w:ascii="Calibri" w:hAnsi="Calibri"/>
          <w:b w:val="0"/>
          <w:sz w:val="22"/>
          <w:szCs w:val="22"/>
        </w:rPr>
        <w:t>%. El comportamiento de los objetivos estratégicos arrojó un buen</w:t>
      </w:r>
      <w:r w:rsidRPr="00A3531A">
        <w:rPr>
          <w:rFonts w:ascii="Calibri" w:hAnsi="Calibri"/>
          <w:b w:val="0"/>
          <w:sz w:val="22"/>
          <w:szCs w:val="22"/>
        </w:rPr>
        <w:t xml:space="preserve"> cumplimiento del 9</w:t>
      </w:r>
      <w:r>
        <w:rPr>
          <w:rFonts w:ascii="Calibri" w:hAnsi="Calibri"/>
          <w:b w:val="0"/>
          <w:sz w:val="22"/>
          <w:szCs w:val="22"/>
        </w:rPr>
        <w:t>5</w:t>
      </w:r>
      <w:r w:rsidRPr="00A3531A">
        <w:rPr>
          <w:rFonts w:ascii="Calibri" w:hAnsi="Calibri"/>
          <w:b w:val="0"/>
          <w:sz w:val="22"/>
          <w:szCs w:val="22"/>
        </w:rPr>
        <w:t>.</w:t>
      </w:r>
      <w:r>
        <w:rPr>
          <w:rFonts w:ascii="Calibri" w:hAnsi="Calibri"/>
          <w:b w:val="0"/>
          <w:sz w:val="22"/>
          <w:szCs w:val="22"/>
        </w:rPr>
        <w:t>1</w:t>
      </w:r>
      <w:r w:rsidRPr="00A3531A">
        <w:rPr>
          <w:rFonts w:ascii="Calibri" w:hAnsi="Calibri"/>
          <w:b w:val="0"/>
          <w:sz w:val="22"/>
          <w:szCs w:val="22"/>
        </w:rPr>
        <w:t xml:space="preserve">%, </w:t>
      </w:r>
    </w:p>
    <w:p w:rsidR="00150D1B" w:rsidRDefault="00150D1B" w:rsidP="00150D1B">
      <w:pPr>
        <w:pStyle w:val="Prrafodelista"/>
        <w:rPr>
          <w:rFonts w:ascii="Calibri" w:hAnsi="Calibri"/>
          <w:b w:val="0"/>
          <w:sz w:val="22"/>
          <w:szCs w:val="22"/>
          <w:lang w:val="es-CL"/>
        </w:rPr>
      </w:pPr>
    </w:p>
    <w:p w:rsidR="00150D1B" w:rsidRDefault="00150D1B" w:rsidP="00150D1B">
      <w:pPr>
        <w:numPr>
          <w:ilvl w:val="0"/>
          <w:numId w:val="3"/>
        </w:numPr>
        <w:jc w:val="both"/>
        <w:rPr>
          <w:rFonts w:ascii="Calibri" w:hAnsi="Calibri"/>
          <w:b w:val="0"/>
          <w:sz w:val="22"/>
          <w:szCs w:val="22"/>
        </w:rPr>
      </w:pPr>
      <w:r w:rsidRPr="008312D9">
        <w:rPr>
          <w:rFonts w:ascii="Calibri" w:hAnsi="Calibri"/>
          <w:b w:val="0"/>
          <w:sz w:val="22"/>
          <w:szCs w:val="22"/>
        </w:rPr>
        <w:t xml:space="preserve">Las </w:t>
      </w:r>
      <w:r w:rsidRPr="00881279">
        <w:rPr>
          <w:rFonts w:ascii="Calibri" w:hAnsi="Calibri"/>
          <w:b w:val="0"/>
          <w:sz w:val="22"/>
          <w:szCs w:val="22"/>
        </w:rPr>
        <w:t>mediciones de la Eficacia con un</w:t>
      </w:r>
      <w:r w:rsidRPr="008312D9">
        <w:rPr>
          <w:rFonts w:ascii="Calibri" w:hAnsi="Calibri"/>
          <w:b w:val="0"/>
          <w:sz w:val="22"/>
          <w:szCs w:val="22"/>
        </w:rPr>
        <w:t xml:space="preserve"> </w:t>
      </w:r>
      <w:r w:rsidRPr="00CE24BE">
        <w:rPr>
          <w:rFonts w:ascii="Calibri" w:hAnsi="Calibri"/>
          <w:b w:val="0"/>
          <w:sz w:val="22"/>
          <w:szCs w:val="22"/>
        </w:rPr>
        <w:t>9</w:t>
      </w:r>
      <w:r>
        <w:rPr>
          <w:rFonts w:ascii="Calibri" w:hAnsi="Calibri"/>
          <w:b w:val="0"/>
          <w:sz w:val="22"/>
          <w:szCs w:val="22"/>
        </w:rPr>
        <w:t>5.26</w:t>
      </w:r>
      <w:r w:rsidRPr="008312D9">
        <w:rPr>
          <w:rFonts w:ascii="Calibri" w:hAnsi="Calibri"/>
          <w:b w:val="0"/>
          <w:sz w:val="22"/>
          <w:szCs w:val="22"/>
        </w:rPr>
        <w:t xml:space="preserve">%, Eficiencia con el </w:t>
      </w:r>
      <w:r>
        <w:rPr>
          <w:rFonts w:ascii="Calibri" w:hAnsi="Calibri"/>
          <w:b w:val="0"/>
          <w:sz w:val="22"/>
          <w:szCs w:val="22"/>
        </w:rPr>
        <w:t>96.42</w:t>
      </w:r>
      <w:r w:rsidRPr="008312D9">
        <w:rPr>
          <w:rFonts w:ascii="Calibri" w:hAnsi="Calibri"/>
          <w:b w:val="0"/>
          <w:sz w:val="22"/>
          <w:szCs w:val="22"/>
        </w:rPr>
        <w:t>%</w:t>
      </w:r>
      <w:r>
        <w:rPr>
          <w:rFonts w:ascii="Calibri" w:hAnsi="Calibri"/>
          <w:b w:val="0"/>
          <w:sz w:val="22"/>
          <w:szCs w:val="22"/>
        </w:rPr>
        <w:t xml:space="preserve"> y </w:t>
      </w:r>
      <w:r w:rsidRPr="008312D9">
        <w:rPr>
          <w:rFonts w:ascii="Calibri" w:hAnsi="Calibri"/>
          <w:b w:val="0"/>
          <w:sz w:val="22"/>
          <w:szCs w:val="22"/>
        </w:rPr>
        <w:t>Efectividad con el 9</w:t>
      </w:r>
      <w:r>
        <w:rPr>
          <w:rFonts w:ascii="Calibri" w:hAnsi="Calibri"/>
          <w:b w:val="0"/>
          <w:sz w:val="22"/>
          <w:szCs w:val="22"/>
        </w:rPr>
        <w:t>7.25%</w:t>
      </w:r>
      <w:r w:rsidRPr="008312D9">
        <w:rPr>
          <w:rFonts w:ascii="Calibri" w:hAnsi="Calibri"/>
          <w:b w:val="0"/>
          <w:sz w:val="22"/>
          <w:szCs w:val="22"/>
        </w:rPr>
        <w:t xml:space="preserve"> muestran una buena gestión </w:t>
      </w:r>
      <w:r>
        <w:rPr>
          <w:rFonts w:ascii="Calibri" w:hAnsi="Calibri"/>
          <w:b w:val="0"/>
          <w:sz w:val="22"/>
          <w:szCs w:val="22"/>
        </w:rPr>
        <w:t xml:space="preserve">de los procesos </w:t>
      </w:r>
      <w:r w:rsidRPr="008312D9">
        <w:rPr>
          <w:rFonts w:ascii="Calibri" w:hAnsi="Calibri"/>
          <w:b w:val="0"/>
          <w:sz w:val="22"/>
          <w:szCs w:val="22"/>
        </w:rPr>
        <w:t>de la entidad</w:t>
      </w:r>
      <w:r>
        <w:rPr>
          <w:rFonts w:ascii="Calibri" w:hAnsi="Calibri"/>
          <w:b w:val="0"/>
          <w:sz w:val="22"/>
          <w:szCs w:val="22"/>
        </w:rPr>
        <w:t>.</w:t>
      </w:r>
    </w:p>
    <w:p w:rsidR="00150D1B" w:rsidRDefault="00150D1B" w:rsidP="00150D1B">
      <w:pPr>
        <w:ind w:left="720"/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numPr>
          <w:ilvl w:val="0"/>
          <w:numId w:val="3"/>
        </w:num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Se sugiere realizar análisis de causas a partir de los resultados de los indicadores que afectaron la Eficacia, Efectividad y Eficiencia con el fin de mejorar el desempeño. </w:t>
      </w:r>
    </w:p>
    <w:p w:rsidR="00150D1B" w:rsidRDefault="00150D1B" w:rsidP="00150D1B">
      <w:pPr>
        <w:pStyle w:val="Prrafodelista"/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ind w:left="720"/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ind w:left="708"/>
        <w:jc w:val="both"/>
        <w:rPr>
          <w:rFonts w:ascii="Calibri" w:hAnsi="Calibri"/>
          <w:b w:val="0"/>
          <w:sz w:val="22"/>
          <w:szCs w:val="22"/>
        </w:rPr>
      </w:pPr>
    </w:p>
    <w:p w:rsidR="00150D1B" w:rsidRDefault="00150D1B" w:rsidP="00150D1B">
      <w:pPr>
        <w:ind w:left="708"/>
        <w:jc w:val="both"/>
        <w:rPr>
          <w:rFonts w:ascii="Calibri" w:hAnsi="Calibri"/>
          <w:b w:val="0"/>
          <w:sz w:val="22"/>
          <w:szCs w:val="22"/>
        </w:rPr>
      </w:pPr>
    </w:p>
    <w:p w:rsidR="00150D1B" w:rsidRPr="00656CC8" w:rsidRDefault="00150D1B" w:rsidP="00150D1B">
      <w:pPr>
        <w:ind w:left="708"/>
        <w:jc w:val="both"/>
        <w:rPr>
          <w:rFonts w:ascii="Calibri" w:hAnsi="Calibri"/>
          <w:b w:val="0"/>
          <w:sz w:val="22"/>
          <w:szCs w:val="22"/>
        </w:rPr>
      </w:pPr>
    </w:p>
    <w:p w:rsidR="00150D1B" w:rsidRPr="00656CC8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FECHA DE APROBACIÓN: 28 de Abril de 2017</w:t>
      </w:r>
    </w:p>
    <w:p w:rsidR="00150D1B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150D1B" w:rsidRPr="00656CC8" w:rsidRDefault="00150D1B" w:rsidP="00150D1B">
      <w:pPr>
        <w:jc w:val="both"/>
        <w:rPr>
          <w:rFonts w:ascii="Calibri" w:hAnsi="Calibri"/>
          <w:b w:val="0"/>
          <w:sz w:val="22"/>
          <w:szCs w:val="22"/>
        </w:rPr>
      </w:pPr>
    </w:p>
    <w:p w:rsidR="00EC628C" w:rsidRDefault="00EC628C">
      <w:bookmarkStart w:id="23" w:name="_GoBack"/>
      <w:bookmarkEnd w:id="23"/>
    </w:p>
    <w:sectPr w:rsidR="00EC628C" w:rsidSect="00BC7E97">
      <w:headerReference w:type="default" r:id="rId11"/>
      <w:footerReference w:type="default" r:id="rId12"/>
      <w:headerReference w:type="first" r:id="rId13"/>
      <w:pgSz w:w="12240" w:h="15840" w:code="1"/>
      <w:pgMar w:top="2084" w:right="1134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892" w:rsidRPr="00BF7C6E" w:rsidRDefault="00150D1B" w:rsidP="00F85C3C">
    <w:pPr>
      <w:pStyle w:val="Piedepgina"/>
      <w:rPr>
        <w:rFonts w:ascii="Calibri" w:hAnsi="Calibri"/>
        <w:sz w:val="12"/>
        <w:szCs w:val="12"/>
      </w:rPr>
    </w:pPr>
    <w:r w:rsidRPr="00BF7C6E">
      <w:rPr>
        <w:rFonts w:ascii="Calibri" w:hAnsi="Calibri"/>
        <w:sz w:val="12"/>
        <w:szCs w:val="12"/>
      </w:rPr>
      <w:t xml:space="preserve"> </w:t>
    </w:r>
    <w:r w:rsidRPr="00BF7C6E">
      <w:rPr>
        <w:rFonts w:ascii="Calibri" w:hAnsi="Calibri"/>
        <w:sz w:val="12"/>
        <w:szCs w:val="12"/>
      </w:rPr>
      <w:t>GIT de Planeación</w:t>
    </w:r>
  </w:p>
  <w:p w:rsidR="00EA4892" w:rsidRDefault="00150D1B" w:rsidP="00F85C3C">
    <w:pPr>
      <w:pStyle w:val="Piedepgina"/>
      <w:rPr>
        <w:rFonts w:ascii="Calibri" w:hAnsi="Calibri"/>
        <w:sz w:val="12"/>
        <w:szCs w:val="12"/>
        <w:lang w:val="es-ES"/>
      </w:rPr>
    </w:pPr>
    <w:r w:rsidRPr="00BF7C6E">
      <w:rPr>
        <w:rFonts w:ascii="Calibri" w:hAnsi="Calibri"/>
        <w:sz w:val="12"/>
        <w:szCs w:val="12"/>
      </w:rPr>
      <w:t>Elaboró</w:t>
    </w:r>
    <w:r>
      <w:rPr>
        <w:rFonts w:ascii="Calibri" w:hAnsi="Calibri"/>
        <w:sz w:val="12"/>
        <w:szCs w:val="12"/>
        <w:lang w:val="es-CO"/>
      </w:rPr>
      <w:t>:</w:t>
    </w:r>
    <w:r w:rsidRPr="00BF7C6E">
      <w:rPr>
        <w:rFonts w:ascii="Calibri" w:hAnsi="Calibri"/>
        <w:sz w:val="12"/>
        <w:szCs w:val="12"/>
      </w:rPr>
      <w:t xml:space="preserve"> </w:t>
    </w:r>
    <w:r>
      <w:rPr>
        <w:rFonts w:ascii="Calibri" w:hAnsi="Calibri"/>
        <w:sz w:val="12"/>
        <w:szCs w:val="12"/>
        <w:lang w:val="es-ES"/>
      </w:rPr>
      <w:t>Carlos Arias</w:t>
    </w:r>
  </w:p>
  <w:p w:rsidR="002A6ECC" w:rsidRPr="0017645B" w:rsidRDefault="00150D1B" w:rsidP="00F85C3C">
    <w:pPr>
      <w:pStyle w:val="Piedepgina"/>
      <w:rPr>
        <w:rFonts w:ascii="Calibri" w:hAnsi="Calibri"/>
        <w:sz w:val="12"/>
        <w:szCs w:val="12"/>
        <w:lang w:val="es-ES"/>
      </w:rPr>
    </w:pPr>
    <w:r>
      <w:rPr>
        <w:rFonts w:ascii="Calibri" w:hAnsi="Calibri"/>
        <w:sz w:val="12"/>
        <w:szCs w:val="12"/>
        <w:lang w:val="es-ES"/>
      </w:rPr>
      <w:t xml:space="preserve">Revisó: Ivón </w:t>
    </w:r>
    <w:r>
      <w:rPr>
        <w:rFonts w:ascii="Calibri" w:hAnsi="Calibri"/>
        <w:sz w:val="12"/>
        <w:szCs w:val="12"/>
        <w:lang w:val="es-ES"/>
      </w:rPr>
      <w:t>Triana</w:t>
    </w:r>
    <w:r>
      <w:rPr>
        <w:rFonts w:ascii="Calibri" w:hAnsi="Calibri"/>
        <w:sz w:val="12"/>
        <w:szCs w:val="12"/>
        <w:lang w:val="es-ES"/>
      </w:rPr>
      <w:t xml:space="preserve"> T. </w:t>
    </w:r>
  </w:p>
  <w:p w:rsidR="00EA4892" w:rsidRDefault="00150D1B" w:rsidP="00F85C3C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892" w:rsidRDefault="00150D1B" w:rsidP="00F85C3C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2209165</wp:posOffset>
          </wp:positionH>
          <wp:positionV relativeFrom="paragraph">
            <wp:posOffset>-217170</wp:posOffset>
          </wp:positionV>
          <wp:extent cx="3767455" cy="836930"/>
          <wp:effectExtent l="0" t="0" r="4445" b="1270"/>
          <wp:wrapThrough wrapText="bothSides">
            <wp:wrapPolygon edited="0">
              <wp:start x="11686" y="0"/>
              <wp:lineTo x="0" y="2950"/>
              <wp:lineTo x="0" y="18683"/>
              <wp:lineTo x="11686" y="21141"/>
              <wp:lineTo x="21516" y="21141"/>
              <wp:lineTo x="21516" y="0"/>
              <wp:lineTo x="11686" y="0"/>
            </wp:wrapPolygon>
          </wp:wrapThrough>
          <wp:docPr id="7" name="Imagen 7" descr="LOGOS FI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 FI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7455" cy="836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892" w:rsidRDefault="00150D1B" w:rsidP="00F85C3C">
    <w:pPr>
      <w:pStyle w:val="Encabezado"/>
    </w:pPr>
    <w:r>
      <w:rPr>
        <w:rFonts w:ascii="Times New Roman" w:hAnsi="Times New Roman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1151890</wp:posOffset>
          </wp:positionH>
          <wp:positionV relativeFrom="paragraph">
            <wp:posOffset>-302895</wp:posOffset>
          </wp:positionV>
          <wp:extent cx="3767455" cy="836930"/>
          <wp:effectExtent l="0" t="0" r="4445" b="1270"/>
          <wp:wrapThrough wrapText="bothSides">
            <wp:wrapPolygon edited="0">
              <wp:start x="11686" y="0"/>
              <wp:lineTo x="0" y="2950"/>
              <wp:lineTo x="0" y="18683"/>
              <wp:lineTo x="11686" y="21141"/>
              <wp:lineTo x="21516" y="21141"/>
              <wp:lineTo x="21516" y="0"/>
              <wp:lineTo x="11686" y="0"/>
            </wp:wrapPolygon>
          </wp:wrapThrough>
          <wp:docPr id="6" name="Imagen 6" descr="LOGOS FI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 FI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7455" cy="836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4892" w:rsidRDefault="00150D1B" w:rsidP="00F85C3C">
    <w:pPr>
      <w:pStyle w:val="Encabezado"/>
    </w:pPr>
  </w:p>
  <w:p w:rsidR="00EA4892" w:rsidRDefault="00150D1B" w:rsidP="00F85C3C">
    <w:pPr>
      <w:pStyle w:val="Encabezado"/>
    </w:pPr>
  </w:p>
  <w:p w:rsidR="00EA4892" w:rsidRDefault="00150D1B" w:rsidP="00F85C3C">
    <w:pPr>
      <w:pStyle w:val="Encabezado"/>
    </w:pPr>
  </w:p>
  <w:p w:rsidR="00EA4892" w:rsidRDefault="00150D1B" w:rsidP="00F85C3C">
    <w:pPr>
      <w:pStyle w:val="Encabezado"/>
    </w:pPr>
  </w:p>
  <w:p w:rsidR="00EA4892" w:rsidRDefault="00150D1B" w:rsidP="00F85C3C">
    <w:pPr>
      <w:pStyle w:val="Encabezado"/>
    </w:pPr>
  </w:p>
  <w:p w:rsidR="00EA4892" w:rsidRDefault="00150D1B" w:rsidP="00F85C3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8C5"/>
    <w:multiLevelType w:val="hybridMultilevel"/>
    <w:tmpl w:val="45BE10B6"/>
    <w:lvl w:ilvl="0" w:tplc="1CF40D96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A41D68"/>
    <w:multiLevelType w:val="hybridMultilevel"/>
    <w:tmpl w:val="92A086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05B84"/>
    <w:multiLevelType w:val="hybridMultilevel"/>
    <w:tmpl w:val="9654A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40B24"/>
    <w:multiLevelType w:val="hybridMultilevel"/>
    <w:tmpl w:val="47981786"/>
    <w:lvl w:ilvl="0" w:tplc="56B28064">
      <w:start w:val="1"/>
      <w:numFmt w:val="upperRoman"/>
      <w:pStyle w:val="Ttulo1"/>
      <w:lvlText w:val="%1."/>
      <w:lvlJc w:val="righ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1B"/>
    <w:rsid w:val="00150D1B"/>
    <w:rsid w:val="00EC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D1B"/>
    <w:pPr>
      <w:spacing w:after="0" w:line="240" w:lineRule="auto"/>
    </w:pPr>
    <w:rPr>
      <w:rFonts w:ascii="Arial" w:eastAsia="Times New Roman" w:hAnsi="Arial" w:cs="Arial"/>
      <w:b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50D1B"/>
    <w:pPr>
      <w:keepNext/>
      <w:keepLines/>
      <w:numPr>
        <w:numId w:val="2"/>
      </w:numPr>
      <w:spacing w:before="480"/>
      <w:jc w:val="both"/>
      <w:outlineLvl w:val="0"/>
    </w:pPr>
    <w:rPr>
      <w:rFonts w:ascii="Calibri" w:hAnsi="Calibri" w:cs="Times New Roman"/>
      <w:bCs/>
      <w:color w:val="365F91"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50D1B"/>
    <w:rPr>
      <w:rFonts w:ascii="Calibri" w:eastAsia="Times New Roman" w:hAnsi="Calibri" w:cs="Times New Roman"/>
      <w:b/>
      <w:bCs/>
      <w:color w:val="365F91"/>
      <w:lang w:val="x-none" w:eastAsia="x-none"/>
    </w:rPr>
  </w:style>
  <w:style w:type="paragraph" w:styleId="Encabezado">
    <w:name w:val="header"/>
    <w:basedOn w:val="Normal"/>
    <w:link w:val="EncabezadoCar"/>
    <w:rsid w:val="00150D1B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rsid w:val="00150D1B"/>
    <w:rPr>
      <w:rFonts w:ascii="Arial" w:eastAsia="Times New Roman" w:hAnsi="Arial" w:cs="Times New Roman"/>
      <w:b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150D1B"/>
    <w:pPr>
      <w:tabs>
        <w:tab w:val="center" w:pos="4252"/>
        <w:tab w:val="right" w:pos="8504"/>
      </w:tabs>
    </w:pPr>
    <w:rPr>
      <w:rFonts w:ascii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rsid w:val="00150D1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DC1">
    <w:name w:val="toc 1"/>
    <w:basedOn w:val="Normal"/>
    <w:next w:val="Normal"/>
    <w:autoRedefine/>
    <w:uiPriority w:val="39"/>
    <w:rsid w:val="00150D1B"/>
    <w:pPr>
      <w:tabs>
        <w:tab w:val="right" w:leader="dot" w:pos="8656"/>
      </w:tabs>
      <w:spacing w:after="100"/>
      <w:jc w:val="center"/>
    </w:pPr>
  </w:style>
  <w:style w:type="character" w:styleId="Hipervnculo">
    <w:name w:val="Hyperlink"/>
    <w:uiPriority w:val="99"/>
    <w:rsid w:val="00150D1B"/>
    <w:rPr>
      <w:rFonts w:cs="Times New Roman"/>
      <w:color w:val="0000FF"/>
      <w:u w:val="single"/>
    </w:rPr>
  </w:style>
  <w:style w:type="paragraph" w:customStyle="1" w:styleId="ListParagraph">
    <w:name w:val="List Paragraph"/>
    <w:basedOn w:val="Normal"/>
    <w:rsid w:val="00150D1B"/>
    <w:pPr>
      <w:ind w:left="720"/>
    </w:pPr>
  </w:style>
  <w:style w:type="paragraph" w:styleId="Prrafodelista">
    <w:name w:val="List Paragraph"/>
    <w:basedOn w:val="Normal"/>
    <w:uiPriority w:val="34"/>
    <w:qFormat/>
    <w:rsid w:val="00150D1B"/>
    <w:pPr>
      <w:ind w:left="708"/>
    </w:pPr>
  </w:style>
  <w:style w:type="paragraph" w:styleId="NormalWeb">
    <w:name w:val="Normal (Web)"/>
    <w:basedOn w:val="Normal"/>
    <w:uiPriority w:val="99"/>
    <w:unhideWhenUsed/>
    <w:rsid w:val="00150D1B"/>
    <w:pPr>
      <w:spacing w:before="100" w:beforeAutospacing="1" w:after="100" w:afterAutospacing="1"/>
    </w:pPr>
    <w:rPr>
      <w:rFonts w:ascii="Times New Roman" w:hAnsi="Times New Roman" w:cs="Times New Roman"/>
      <w:b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D1B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D1B"/>
    <w:rPr>
      <w:rFonts w:ascii="Tahoma" w:eastAsia="Times New Roman" w:hAnsi="Tahoma" w:cs="Tahoma"/>
      <w:b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D1B"/>
    <w:pPr>
      <w:spacing w:after="0" w:line="240" w:lineRule="auto"/>
    </w:pPr>
    <w:rPr>
      <w:rFonts w:ascii="Arial" w:eastAsia="Times New Roman" w:hAnsi="Arial" w:cs="Arial"/>
      <w:b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50D1B"/>
    <w:pPr>
      <w:keepNext/>
      <w:keepLines/>
      <w:numPr>
        <w:numId w:val="2"/>
      </w:numPr>
      <w:spacing w:before="480"/>
      <w:jc w:val="both"/>
      <w:outlineLvl w:val="0"/>
    </w:pPr>
    <w:rPr>
      <w:rFonts w:ascii="Calibri" w:hAnsi="Calibri" w:cs="Times New Roman"/>
      <w:bCs/>
      <w:color w:val="365F91"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50D1B"/>
    <w:rPr>
      <w:rFonts w:ascii="Calibri" w:eastAsia="Times New Roman" w:hAnsi="Calibri" w:cs="Times New Roman"/>
      <w:b/>
      <w:bCs/>
      <w:color w:val="365F91"/>
      <w:lang w:val="x-none" w:eastAsia="x-none"/>
    </w:rPr>
  </w:style>
  <w:style w:type="paragraph" w:styleId="Encabezado">
    <w:name w:val="header"/>
    <w:basedOn w:val="Normal"/>
    <w:link w:val="EncabezadoCar"/>
    <w:rsid w:val="00150D1B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rsid w:val="00150D1B"/>
    <w:rPr>
      <w:rFonts w:ascii="Arial" w:eastAsia="Times New Roman" w:hAnsi="Arial" w:cs="Times New Roman"/>
      <w:b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150D1B"/>
    <w:pPr>
      <w:tabs>
        <w:tab w:val="center" w:pos="4252"/>
        <w:tab w:val="right" w:pos="8504"/>
      </w:tabs>
    </w:pPr>
    <w:rPr>
      <w:rFonts w:ascii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rsid w:val="00150D1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DC1">
    <w:name w:val="toc 1"/>
    <w:basedOn w:val="Normal"/>
    <w:next w:val="Normal"/>
    <w:autoRedefine/>
    <w:uiPriority w:val="39"/>
    <w:rsid w:val="00150D1B"/>
    <w:pPr>
      <w:tabs>
        <w:tab w:val="right" w:leader="dot" w:pos="8656"/>
      </w:tabs>
      <w:spacing w:after="100"/>
      <w:jc w:val="center"/>
    </w:pPr>
  </w:style>
  <w:style w:type="character" w:styleId="Hipervnculo">
    <w:name w:val="Hyperlink"/>
    <w:uiPriority w:val="99"/>
    <w:rsid w:val="00150D1B"/>
    <w:rPr>
      <w:rFonts w:cs="Times New Roman"/>
      <w:color w:val="0000FF"/>
      <w:u w:val="single"/>
    </w:rPr>
  </w:style>
  <w:style w:type="paragraph" w:customStyle="1" w:styleId="ListParagraph">
    <w:name w:val="List Paragraph"/>
    <w:basedOn w:val="Normal"/>
    <w:rsid w:val="00150D1B"/>
    <w:pPr>
      <w:ind w:left="720"/>
    </w:pPr>
  </w:style>
  <w:style w:type="paragraph" w:styleId="Prrafodelista">
    <w:name w:val="List Paragraph"/>
    <w:basedOn w:val="Normal"/>
    <w:uiPriority w:val="34"/>
    <w:qFormat/>
    <w:rsid w:val="00150D1B"/>
    <w:pPr>
      <w:ind w:left="708"/>
    </w:pPr>
  </w:style>
  <w:style w:type="paragraph" w:styleId="NormalWeb">
    <w:name w:val="Normal (Web)"/>
    <w:basedOn w:val="Normal"/>
    <w:uiPriority w:val="99"/>
    <w:unhideWhenUsed/>
    <w:rsid w:val="00150D1B"/>
    <w:pPr>
      <w:spacing w:before="100" w:beforeAutospacing="1" w:after="100" w:afterAutospacing="1"/>
    </w:pPr>
    <w:rPr>
      <w:rFonts w:ascii="Times New Roman" w:hAnsi="Times New Roman" w:cs="Times New Roman"/>
      <w:b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D1B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D1B"/>
    <w:rPr>
      <w:rFonts w:ascii="Tahoma" w:eastAsia="Times New Roman" w:hAnsi="Tahoma" w:cs="Tahoma"/>
      <w:b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arias\Documents\PLAN%20DE%20ACCION%202017\CMI\CMI%20MAR%2031%202017%20Completo.xls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2956939798011262"/>
          <c:y val="0.13261971977223727"/>
          <c:w val="0.51752112348584989"/>
          <c:h val="0.8111265487379694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'INFORME DE GESTION TRIM'!$E$2</c:f>
              <c:strCache>
                <c:ptCount val="1"/>
                <c:pt idx="0">
                  <c:v>EJECUCIÓN A MARZO 31 /17</c:v>
                </c:pt>
              </c:strCache>
            </c:strRef>
          </c:tx>
          <c:spPr>
            <a:solidFill>
              <a:srgbClr val="00B050"/>
            </a:solidFill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'INFORME DE GESTION TRIM'!$C$3:$C$17</c:f>
              <c:strCache>
                <c:ptCount val="15"/>
                <c:pt idx="0">
                  <c:v>SOSTENIBILIDAD DE LA REGULACIÓN CONTABLE PÚBLICA EN CONVERGENCIA CON ESTÁNDARES INTERNACIONALES DE INFORMACIÓN FINANCIERA </c:v>
                </c:pt>
                <c:pt idx="1">
                  <c:v>ADAPTACIÓN FINANCIERA Y ESTADÍSTICA A LOS NUEVOS MARCOS NORMATIVOS</c:v>
                </c:pt>
                <c:pt idx="2">
                  <c:v>BALANCE GENERAL CONSOLIDADO DE LA NACIÓN</c:v>
                </c:pt>
                <c:pt idx="3">
                  <c:v>INFORME CONSOLIDADO DE CONTROL INTERNO CONTABLE</c:v>
                </c:pt>
                <c:pt idx="4">
                  <c:v>CUESTIONARIO ANUAL DE ESTADÍSTICAS DE LAS FINANZAS PUBLICAS</c:v>
                </c:pt>
                <c:pt idx="5">
                  <c:v>INFORMES POR DEPARTAMENTOS</c:v>
                </c:pt>
                <c:pt idx="6">
                  <c:v>SERIES HISTÓRICAS 2007-2016</c:v>
                </c:pt>
                <c:pt idx="7">
                  <c:v>BOLETIN DEUDORES MOROSOS DEL ESTADO</c:v>
                </c:pt>
                <c:pt idx="8">
                  <c:v>MEJORAMIENTO DE LA CALIDAD DE LA INFORMACIÓN CONTABLE PUBLICA</c:v>
                </c:pt>
                <c:pt idx="9">
                  <c:v>FORTALECIMIENTO DE LOS SISTEMAS DE GESTIÓN DE LA CGN</c:v>
                </c:pt>
                <c:pt idx="10">
                  <c:v>SISTEMA DE GESTIÓN AMBIENTAL</c:v>
                </c:pt>
                <c:pt idx="11">
                  <c:v>CAPACITACIÓN, DIVULGACIÓN Y ASISTENCIA TECNICA EN EL MODELO COLOMBIANO DE REGULACIÓN CONTABLE PÚBLICA.</c:v>
                </c:pt>
                <c:pt idx="12">
                  <c:v>FORTALECIMIENTO DE LOS SISTEMAS DE INFORMACIÓN Y CONSOLIDACIÓN CONTABLE NACIONAL</c:v>
                </c:pt>
                <c:pt idx="14">
                  <c:v>TOTAL PLAN DE ACCIÓN ESTRATÉGICO</c:v>
                </c:pt>
              </c:strCache>
            </c:strRef>
          </c:cat>
          <c:val>
            <c:numRef>
              <c:f>'INFORME DE GESTION TRIM'!$E$3:$E$17</c:f>
              <c:numCache>
                <c:formatCode>0.00%</c:formatCode>
                <c:ptCount val="15"/>
                <c:pt idx="0">
                  <c:v>0.12820000000000001</c:v>
                </c:pt>
                <c:pt idx="1">
                  <c:v>0.25</c:v>
                </c:pt>
                <c:pt idx="2">
                  <c:v>0.05</c:v>
                </c:pt>
                <c:pt idx="3">
                  <c:v>0.5</c:v>
                </c:pt>
                <c:pt idx="4">
                  <c:v>0.25</c:v>
                </c:pt>
                <c:pt idx="5">
                  <c:v>0</c:v>
                </c:pt>
                <c:pt idx="6">
                  <c:v>0.2</c:v>
                </c:pt>
                <c:pt idx="7">
                  <c:v>0.5</c:v>
                </c:pt>
                <c:pt idx="8">
                  <c:v>0.20759</c:v>
                </c:pt>
                <c:pt idx="9">
                  <c:v>0.1875</c:v>
                </c:pt>
                <c:pt idx="10">
                  <c:v>0.16669999999999999</c:v>
                </c:pt>
                <c:pt idx="11">
                  <c:v>0.25</c:v>
                </c:pt>
                <c:pt idx="12">
                  <c:v>0.25</c:v>
                </c:pt>
                <c:pt idx="14">
                  <c:v>0.19141836363636364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384384"/>
        <c:axId val="147210240"/>
      </c:barChart>
      <c:catAx>
        <c:axId val="1443843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es-CO"/>
          </a:p>
        </c:txPr>
        <c:crossAx val="147210240"/>
        <c:crossesAt val="0"/>
        <c:auto val="1"/>
        <c:lblAlgn val="ctr"/>
        <c:lblOffset val="100"/>
        <c:noMultiLvlLbl val="0"/>
      </c:catAx>
      <c:valAx>
        <c:axId val="147210240"/>
        <c:scaling>
          <c:orientation val="minMax"/>
          <c:max val="1.1000000000000001"/>
          <c:min val="0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44384384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F79646">
            <a:lumMod val="40000"/>
            <a:lumOff val="60000"/>
          </a:srgbClr>
        </a:gs>
        <a:gs pos="64999">
          <a:schemeClr val="bg1">
            <a:lumMod val="85000"/>
          </a:schemeClr>
        </a:gs>
        <a:gs pos="100000">
          <a:srgbClr val="9BBB59">
            <a:lumMod val="60000"/>
            <a:lumOff val="40000"/>
          </a:srgbClr>
        </a:gs>
      </a:gsLst>
      <a:lin ang="5400000" scaled="0"/>
    </a:gradFill>
    <a:ln cap="rnd">
      <a:gradFill>
        <a:gsLst>
          <a:gs pos="0">
            <a:srgbClr val="4F81BD">
              <a:tint val="66000"/>
              <a:satMod val="160000"/>
            </a:srgbClr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B050"/>
            </a:solidFill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10"/>
            <c:invertIfNegative val="0"/>
            <c:bubble3D val="0"/>
          </c:dPt>
          <c:dLbls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'INFORME DE GESTION TRIM'!$M$3:$M$14</c:f>
              <c:strCache>
                <c:ptCount val="12"/>
                <c:pt idx="0">
                  <c:v>NORMALIZACIÓN Y CULTURIZACIÓN CONTABLE</c:v>
                </c:pt>
                <c:pt idx="1">
                  <c:v>CONSOLIDACIÓN DE LA INFORMACIÓN</c:v>
                </c:pt>
                <c:pt idx="2">
                  <c:v>CENTRALIZACIÓN DE LA INFORMACIÓN</c:v>
                </c:pt>
                <c:pt idx="3">
                  <c:v>COMUNICACIÓN PÚBLICA</c:v>
                </c:pt>
                <c:pt idx="4">
                  <c:v>CONTROL Y EVALUACIÓN</c:v>
                </c:pt>
                <c:pt idx="5">
                  <c:v>GESTIÓN HUMANA</c:v>
                </c:pt>
                <c:pt idx="6">
                  <c:v>GESTIÓN ADMINISTRATIVA</c:v>
                </c:pt>
                <c:pt idx="7">
                  <c:v>GESTIÓN RECURSOS FINANCIEROS</c:v>
                </c:pt>
                <c:pt idx="8">
                  <c:v>PLANEACIÓN INTEGRAL</c:v>
                </c:pt>
                <c:pt idx="9">
                  <c:v>GESTIÓN TICS</c:v>
                </c:pt>
                <c:pt idx="10">
                  <c:v>GESTIÓN JURÍDICA</c:v>
                </c:pt>
                <c:pt idx="11">
                  <c:v>TOTAL PLAN DE ACCIÓN OPERATIVO</c:v>
                </c:pt>
              </c:strCache>
            </c:strRef>
          </c:cat>
          <c:val>
            <c:numRef>
              <c:f>'INFORME DE GESTION TRIM'!$O$3:$O$14</c:f>
              <c:numCache>
                <c:formatCode>0.00%</c:formatCode>
                <c:ptCount val="12"/>
                <c:pt idx="0">
                  <c:v>0.3</c:v>
                </c:pt>
                <c:pt idx="1">
                  <c:v>0.25</c:v>
                </c:pt>
                <c:pt idx="2">
                  <c:v>0.23526</c:v>
                </c:pt>
                <c:pt idx="3">
                  <c:v>0.25</c:v>
                </c:pt>
                <c:pt idx="4">
                  <c:v>0.25</c:v>
                </c:pt>
                <c:pt idx="5">
                  <c:v>0.24</c:v>
                </c:pt>
                <c:pt idx="6">
                  <c:v>0.24</c:v>
                </c:pt>
                <c:pt idx="7">
                  <c:v>0.25</c:v>
                </c:pt>
                <c:pt idx="8">
                  <c:v>0.25</c:v>
                </c:pt>
                <c:pt idx="9">
                  <c:v>0.249</c:v>
                </c:pt>
                <c:pt idx="10">
                  <c:v>0.25</c:v>
                </c:pt>
                <c:pt idx="11">
                  <c:v>0.25561781471631201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197312"/>
        <c:axId val="148440192"/>
      </c:barChart>
      <c:catAx>
        <c:axId val="1471973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48440192"/>
        <c:crossesAt val="0"/>
        <c:auto val="1"/>
        <c:lblAlgn val="ctr"/>
        <c:lblOffset val="100"/>
        <c:tickLblSkip val="1"/>
        <c:tickMarkSkip val="10"/>
        <c:noMultiLvlLbl val="0"/>
      </c:catAx>
      <c:valAx>
        <c:axId val="148440192"/>
        <c:scaling>
          <c:orientation val="minMax"/>
          <c:max val="1.1000000000000001"/>
          <c:min val="0"/>
        </c:scaling>
        <c:delete val="0"/>
        <c:axPos val="b"/>
        <c:majorGridlines/>
        <c:numFmt formatCode="0%" sourceLinked="0"/>
        <c:majorTickMark val="none"/>
        <c:minorTickMark val="none"/>
        <c:tickLblPos val="low"/>
        <c:txPr>
          <a:bodyPr/>
          <a:lstStyle/>
          <a:p>
            <a:pPr>
              <a:defRPr b="1"/>
            </a:pPr>
            <a:endParaRPr lang="es-CO"/>
          </a:p>
        </c:txPr>
        <c:crossAx val="147197312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F79646">
            <a:lumMod val="40000"/>
            <a:lumOff val="60000"/>
          </a:srgbClr>
        </a:gs>
        <a:gs pos="64999">
          <a:schemeClr val="bg1">
            <a:lumMod val="85000"/>
          </a:schemeClr>
        </a:gs>
        <a:gs pos="100000">
          <a:srgbClr val="9BBB59">
            <a:lumMod val="60000"/>
            <a:lumOff val="40000"/>
          </a:srgbClr>
        </a:gs>
      </a:gsLst>
      <a:lin ang="5400000" scaled="0"/>
    </a:gradFill>
    <a:ln cap="rnd">
      <a:gradFill>
        <a:gsLst>
          <a:gs pos="0">
            <a:srgbClr val="4F81BD">
              <a:tint val="66000"/>
              <a:satMod val="160000"/>
            </a:srgbClr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7194974625454703E-2"/>
          <c:y val="0.14406039706128784"/>
          <c:w val="0.91923660536535878"/>
          <c:h val="0.75421760950163097"/>
        </c:manualLayout>
      </c:layout>
      <c:barChart>
        <c:barDir val="col"/>
        <c:grouping val="clustered"/>
        <c:varyColors val="0"/>
        <c:ser>
          <c:idx val="0"/>
          <c:order val="0"/>
          <c:tx>
            <c:v>TRIM-II-13</c:v>
          </c:tx>
          <c:spPr>
            <a:solidFill>
              <a:srgbClr val="00B050"/>
            </a:solidFill>
            <a:ln w="9525">
              <a:solidFill>
                <a:prstClr val="black"/>
              </a:solidFill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Lbls>
            <c:dLbl>
              <c:idx val="3"/>
              <c:layout>
                <c:manualLayout>
                  <c:x val="-2.6761820743635137E-3"/>
                  <c:y val="-4.07000407000406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1.95360195360195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1.465201465201465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3380910371817568E-3"/>
                  <c:y val="-4.88400488400488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6.690455185908784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'resultados tipo indicador'!$A$35:$A$46</c:f>
              <c:strCache>
                <c:ptCount val="12"/>
                <c:pt idx="0">
                  <c:v>1</c:v>
                </c:pt>
                <c:pt idx="1">
                  <c:v>2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11">
                  <c:v>TOTAL</c:v>
                </c:pt>
              </c:strCache>
            </c:strRef>
          </c:cat>
          <c:val>
            <c:numRef>
              <c:f>'resultados tipo indicador'!$B$35:$B$46</c:f>
              <c:numCache>
                <c:formatCode>0.00%</c:formatCode>
                <c:ptCount val="12"/>
                <c:pt idx="0">
                  <c:v>0.96970000000000001</c:v>
                </c:pt>
                <c:pt idx="1">
                  <c:v>0.99399999999999999</c:v>
                </c:pt>
                <c:pt idx="3">
                  <c:v>0.8</c:v>
                </c:pt>
                <c:pt idx="4">
                  <c:v>0.92800000000000005</c:v>
                </c:pt>
                <c:pt idx="5">
                  <c:v>0.96699999999999997</c:v>
                </c:pt>
                <c:pt idx="6">
                  <c:v>1</c:v>
                </c:pt>
                <c:pt idx="7">
                  <c:v>0.9496</c:v>
                </c:pt>
                <c:pt idx="8">
                  <c:v>0.99580000000000002</c:v>
                </c:pt>
                <c:pt idx="11" formatCode="0.0%">
                  <c:v>0.95051249999999998</c:v>
                </c:pt>
              </c:numCache>
            </c:numRef>
          </c:val>
        </c:ser>
        <c:ser>
          <c:idx val="1"/>
          <c:order val="1"/>
          <c:tx>
            <c:v>TRIM-III-13</c:v>
          </c:tx>
          <c:spPr>
            <a:solidFill>
              <a:schemeClr val="accent6">
                <a:lumMod val="75000"/>
              </a:schemeClr>
            </a:solidFill>
            <a:ln cap="rnd">
              <a:round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1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 w="9525" cap="flat">
                <a:round/>
              </a:ln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cat>
            <c:strRef>
              <c:f>'resultados tipo indicador'!$A$35:$A$46</c:f>
              <c:strCache>
                <c:ptCount val="12"/>
                <c:pt idx="0">
                  <c:v>1</c:v>
                </c:pt>
                <c:pt idx="1">
                  <c:v>2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11">
                  <c:v>TOTAL</c:v>
                </c:pt>
              </c:strCache>
            </c:strRef>
          </c:cat>
          <c:val>
            <c:numRef>
              <c:f>'resultados tipo indicador'!$C$35:$C$46</c:f>
              <c:numCache>
                <c:formatCode>General</c:formatCode>
                <c:ptCount val="12"/>
              </c:numCache>
            </c:numRef>
          </c:val>
        </c:ser>
        <c:ser>
          <c:idx val="2"/>
          <c:order val="2"/>
          <c:tx>
            <c:v>TRIM-IV-13</c:v>
          </c:tx>
          <c:spPr>
            <a:ln w="9525" cmpd="sng"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6.690455185908784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9.27960927960927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04281933463581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3381963986807475E-3"/>
                  <c:y val="-7.4888074888074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3380910371817569E-2"/>
                  <c:y val="-1.13960113960113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7.326007326007326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0142731115452709E-3"/>
                  <c:y val="-7.81440781440781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3380910371818551E-3"/>
                  <c:y val="-4.07000407000406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-4.395604395604395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 w="9525">
                <a:solidFill>
                  <a:schemeClr val="tx1"/>
                </a:solidFill>
                <a:beve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'resultados tipo indicador'!$D$35:$D$46</c:f>
              <c:numCache>
                <c:formatCode>General</c:formatCode>
                <c:ptCount val="1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9"/>
        <c:overlap val="5"/>
        <c:axId val="138423296"/>
        <c:axId val="138429568"/>
      </c:barChart>
      <c:catAx>
        <c:axId val="1384232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s-CO"/>
                  <a:t>OBJETIVOS ESTRATEGICOS</a:t>
                </a:r>
              </a:p>
            </c:rich>
          </c:tx>
          <c:layout>
            <c:manualLayout>
              <c:xMode val="edge"/>
              <c:yMode val="edge"/>
              <c:x val="0.45348735254247063"/>
              <c:y val="0.958629726839700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138429568"/>
        <c:crosses val="autoZero"/>
        <c:auto val="1"/>
        <c:lblAlgn val="ctr"/>
        <c:lblOffset val="100"/>
        <c:noMultiLvlLbl val="0"/>
      </c:catAx>
      <c:valAx>
        <c:axId val="138429568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138423296"/>
        <c:crosses val="autoZero"/>
        <c:crossBetween val="between"/>
      </c:valAx>
    </c:plotArea>
    <c:plotVisOnly val="0"/>
    <c:dispBlanksAs val="gap"/>
    <c:showDLblsOverMax val="0"/>
  </c:chart>
  <c:spPr>
    <a:gradFill>
      <a:gsLst>
        <a:gs pos="0">
          <a:srgbClr val="F79646">
            <a:lumMod val="40000"/>
            <a:lumOff val="60000"/>
          </a:srgbClr>
        </a:gs>
        <a:gs pos="0">
          <a:srgbClr val="F79646">
            <a:lumMod val="40000"/>
            <a:lumOff val="60000"/>
          </a:srgbClr>
        </a:gs>
        <a:gs pos="0">
          <a:srgbClr val="F79646">
            <a:lumMod val="40000"/>
            <a:lumOff val="60000"/>
          </a:srgbClr>
        </a:gs>
        <a:gs pos="0">
          <a:srgbClr val="F79646">
            <a:lumMod val="40000"/>
            <a:lumOff val="60000"/>
          </a:srgbClr>
        </a:gs>
        <a:gs pos="64999">
          <a:sysClr val="window" lastClr="FFFFFF">
            <a:lumMod val="85000"/>
          </a:sysClr>
        </a:gs>
        <a:gs pos="100000">
          <a:srgbClr val="9BBB59">
            <a:lumMod val="60000"/>
            <a:lumOff val="40000"/>
          </a:srgbClr>
        </a:gs>
      </a:gsLst>
      <a:lin ang="5400000" scaled="0"/>
    </a:gradFill>
    <a:ln cap="rnd">
      <a:gradFill>
        <a:gsLst>
          <a:gs pos="0">
            <a:srgbClr val="4F81BD">
              <a:tint val="66000"/>
              <a:satMod val="160000"/>
            </a:srgbClr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CO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606324736150279E-2"/>
          <c:y val="0.17493467944046498"/>
          <c:w val="0.93453870322952437"/>
          <c:h val="0.759559819476526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'resultados tipo indicador'!$D$16</c:f>
              <c:strCache>
                <c:ptCount val="1"/>
                <c:pt idx="0">
                  <c:v>AÑO 2017</c:v>
                </c:pt>
              </c:strCache>
            </c:strRef>
          </c:tx>
          <c:spPr>
            <a:solidFill>
              <a:srgbClr val="00B050"/>
            </a:solidFill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2"/>
              <c:layout>
                <c:manualLayout>
                  <c:x val="-9.726050099420144E-3"/>
                  <c:y val="-2.855103497501784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3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'resultados tipo indicador'!$E$4:$I$4</c:f>
              <c:strCache>
                <c:ptCount val="3"/>
                <c:pt idx="0">
                  <c:v>EFICIENCIA</c:v>
                </c:pt>
                <c:pt idx="1">
                  <c:v>EFECTIVIDAD</c:v>
                </c:pt>
                <c:pt idx="2">
                  <c:v>EFICACIA</c:v>
                </c:pt>
              </c:strCache>
            </c:strRef>
          </c:cat>
          <c:val>
            <c:numRef>
              <c:f>'resultados tipo indicador'!$E$16:$G$16</c:f>
              <c:numCache>
                <c:formatCode>0.00%</c:formatCode>
                <c:ptCount val="3"/>
                <c:pt idx="0">
                  <c:v>0.96416666666666673</c:v>
                </c:pt>
                <c:pt idx="1">
                  <c:v>0.97250000000000003</c:v>
                </c:pt>
                <c:pt idx="2">
                  <c:v>0.95255000000000001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461952"/>
        <c:axId val="138463488"/>
      </c:barChart>
      <c:catAx>
        <c:axId val="138461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138463488"/>
        <c:crossesAt val="0"/>
        <c:auto val="1"/>
        <c:lblAlgn val="ctr"/>
        <c:lblOffset val="100"/>
        <c:noMultiLvlLbl val="0"/>
      </c:catAx>
      <c:valAx>
        <c:axId val="138463488"/>
        <c:scaling>
          <c:orientation val="minMax"/>
          <c:min val="0"/>
        </c:scaling>
        <c:delete val="0"/>
        <c:axPos val="l"/>
        <c:majorGridlines>
          <c:spPr>
            <a:ln>
              <a:solidFill>
                <a:schemeClr val="accent1"/>
              </a:solidFill>
            </a:ln>
          </c:spPr>
        </c:majorGridlines>
        <c:numFmt formatCode="0%" sourceLinked="0"/>
        <c:majorTickMark val="out"/>
        <c:minorTickMark val="none"/>
        <c:tickLblPos val="nextTo"/>
        <c:txPr>
          <a:bodyPr rot="0" vert="horz"/>
          <a:lstStyle/>
          <a:p>
            <a:pPr>
              <a:defRPr baseline="0"/>
            </a:pPr>
            <a:endParaRPr lang="es-CO"/>
          </a:p>
        </c:txPr>
        <c:crossAx val="138461952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F79646">
            <a:lumMod val="40000"/>
            <a:lumOff val="60000"/>
          </a:srgbClr>
        </a:gs>
        <a:gs pos="64999">
          <a:schemeClr val="bg1">
            <a:lumMod val="85000"/>
          </a:schemeClr>
        </a:gs>
        <a:gs pos="100000">
          <a:srgbClr val="9BBB59">
            <a:lumMod val="60000"/>
            <a:lumOff val="40000"/>
          </a:srgbClr>
        </a:gs>
      </a:gsLst>
      <a:lin ang="5400000" scaled="0"/>
    </a:gradFill>
    <a:ln cap="rnd">
      <a:gradFill>
        <a:gsLst>
          <a:gs pos="0">
            <a:srgbClr val="4F81BD">
              <a:tint val="66000"/>
              <a:satMod val="160000"/>
            </a:srgbClr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C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1734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Arias Arias</dc:creator>
  <cp:lastModifiedBy>Carlos Alberto Arias Arias</cp:lastModifiedBy>
  <cp:revision>1</cp:revision>
  <dcterms:created xsi:type="dcterms:W3CDTF">2017-05-08T14:46:00Z</dcterms:created>
  <dcterms:modified xsi:type="dcterms:W3CDTF">2017-05-08T14:47:00Z</dcterms:modified>
</cp:coreProperties>
</file>