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5E" w:rsidRPr="00796B04" w:rsidRDefault="007A725E" w:rsidP="007A725E">
      <w:pPr>
        <w:jc w:val="center"/>
        <w:rPr>
          <w:rFonts w:ascii="Arial" w:hAnsi="Arial" w:cs="Arial"/>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796B04">
        <w:rPr>
          <w:rFonts w:ascii="Arial" w:hAnsi="Arial" w:cs="Arial"/>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NOTA METODOLÓGICA</w:t>
      </w: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pBdr>
          <w:bottom w:val="single" w:sz="12" w:space="1" w:color="auto"/>
        </w:pBd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Pr="00796B04" w:rsidRDefault="00397BFB" w:rsidP="007A725E">
      <w:pPr>
        <w:jc w:val="center"/>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SERIES HISTÓRICAS DE LA SITUACIÓN FINANCIERA DEL ESTADO COLOMBIANO</w:t>
      </w:r>
    </w:p>
    <w:p w:rsidR="00397BFB" w:rsidRPr="00796B04" w:rsidRDefault="00397BFB" w:rsidP="007A725E">
      <w:pPr>
        <w:jc w:val="center"/>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7BFB" w:rsidRPr="00796B04" w:rsidRDefault="003056D2" w:rsidP="007A725E">
      <w:pPr>
        <w:jc w:val="center"/>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2007</w:t>
      </w:r>
      <w:r w:rsidR="00397BFB"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- 20</w:t>
      </w:r>
      <w:r w:rsidR="005E723D"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052DE7"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p w:rsidR="007A725E" w:rsidRDefault="007A725E" w:rsidP="007A725E">
      <w:pPr>
        <w:pBdr>
          <w:bottom w:val="single" w:sz="12" w:space="1" w:color="auto"/>
        </w:pBdr>
        <w:jc w:val="center"/>
        <w:rPr>
          <w:rFonts w:ascii="Arial" w:hAnsi="Arial" w:cs="Arial"/>
          <w:b/>
          <w:sz w:val="22"/>
          <w:szCs w:val="22"/>
        </w:rPr>
      </w:pPr>
    </w:p>
    <w:p w:rsidR="000634E6" w:rsidRDefault="000634E6"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AB2BC8" w:rsidP="007A725E">
      <w:pPr>
        <w:jc w:val="center"/>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simplePos x="0" y="0"/>
            <wp:positionH relativeFrom="margin">
              <wp:align>center</wp:align>
            </wp:positionH>
            <wp:positionV relativeFrom="margin">
              <wp:posOffset>3531235</wp:posOffset>
            </wp:positionV>
            <wp:extent cx="1816735" cy="2160270"/>
            <wp:effectExtent l="19050" t="0" r="0" b="0"/>
            <wp:wrapNone/>
            <wp:docPr id="2" name="Imagen 2" descr="co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2"/>
                    <pic:cNvPicPr>
                      <a:picLocks noChangeAspect="1" noChangeArrowheads="1"/>
                    </pic:cNvPicPr>
                  </pic:nvPicPr>
                  <pic:blipFill>
                    <a:blip r:embed="rId9" cstate="print"/>
                    <a:srcRect/>
                    <a:stretch>
                      <a:fillRect/>
                    </a:stretch>
                  </pic:blipFill>
                  <pic:spPr bwMode="auto">
                    <a:xfrm>
                      <a:off x="0" y="0"/>
                      <a:ext cx="1816735" cy="2160270"/>
                    </a:xfrm>
                    <a:prstGeom prst="rect">
                      <a:avLst/>
                    </a:prstGeom>
                    <a:noFill/>
                    <a:ln w="9525">
                      <a:noFill/>
                      <a:miter lim="800000"/>
                      <a:headEnd/>
                      <a:tailEnd/>
                    </a:ln>
                  </pic:spPr>
                </pic:pic>
              </a:graphicData>
            </a:graphic>
          </wp:anchor>
        </w:drawing>
      </w: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397BFB" w:rsidRDefault="00397BFB"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7A725E" w:rsidRDefault="007A725E" w:rsidP="007A725E">
      <w:pPr>
        <w:jc w:val="center"/>
        <w:rPr>
          <w:rFonts w:ascii="Arial" w:hAnsi="Arial" w:cs="Arial"/>
          <w:b/>
          <w:sz w:val="22"/>
          <w:szCs w:val="22"/>
        </w:rPr>
      </w:pPr>
    </w:p>
    <w:p w:rsidR="005E723D" w:rsidRDefault="005E723D" w:rsidP="007A725E">
      <w:pPr>
        <w:pStyle w:val="Sinespaciado1"/>
        <w:jc w:val="center"/>
        <w:rPr>
          <w:rFonts w:ascii="Arial" w:hAnsi="Arial" w:cs="Arial"/>
          <w:b/>
        </w:rPr>
      </w:pPr>
    </w:p>
    <w:p w:rsidR="005E723D" w:rsidRDefault="005E723D" w:rsidP="007A725E">
      <w:pPr>
        <w:pStyle w:val="Sinespaciado1"/>
        <w:jc w:val="center"/>
        <w:rPr>
          <w:rFonts w:ascii="Arial" w:hAnsi="Arial" w:cs="Arial"/>
          <w:b/>
        </w:rPr>
      </w:pPr>
    </w:p>
    <w:p w:rsidR="005E723D" w:rsidRDefault="005E723D" w:rsidP="007A725E">
      <w:pPr>
        <w:pStyle w:val="Sinespaciado1"/>
        <w:jc w:val="center"/>
        <w:rPr>
          <w:rFonts w:ascii="Arial" w:hAnsi="Arial" w:cs="Arial"/>
          <w:b/>
        </w:rPr>
      </w:pPr>
    </w:p>
    <w:p w:rsidR="005E723D" w:rsidRDefault="005E723D" w:rsidP="007A725E">
      <w:pPr>
        <w:pStyle w:val="Sinespaciado1"/>
        <w:jc w:val="center"/>
        <w:rPr>
          <w:rFonts w:ascii="Arial" w:hAnsi="Arial" w:cs="Arial"/>
          <w:b/>
        </w:rPr>
      </w:pPr>
    </w:p>
    <w:p w:rsidR="000634E6" w:rsidRDefault="000634E6" w:rsidP="007A725E">
      <w:pPr>
        <w:pStyle w:val="Sinespaciado1"/>
        <w:jc w:val="center"/>
        <w:rPr>
          <w:rFonts w:ascii="Arial" w:hAnsi="Arial" w:cs="Arial"/>
          <w:b/>
        </w:rPr>
      </w:pPr>
    </w:p>
    <w:p w:rsidR="000634E6" w:rsidRDefault="000634E6" w:rsidP="007A725E">
      <w:pPr>
        <w:pStyle w:val="Sinespaciado1"/>
        <w:jc w:val="center"/>
        <w:rPr>
          <w:rFonts w:ascii="Arial" w:hAnsi="Arial" w:cs="Arial"/>
          <w:b/>
        </w:rPr>
      </w:pPr>
    </w:p>
    <w:p w:rsidR="000634E6" w:rsidRDefault="000634E6" w:rsidP="007A725E">
      <w:pPr>
        <w:pStyle w:val="Sinespaciado1"/>
        <w:jc w:val="center"/>
        <w:rPr>
          <w:rFonts w:ascii="Arial" w:hAnsi="Arial" w:cs="Arial"/>
          <w:b/>
        </w:rPr>
      </w:pPr>
    </w:p>
    <w:p w:rsidR="000634E6" w:rsidRDefault="000634E6" w:rsidP="007A725E">
      <w:pPr>
        <w:pStyle w:val="Sinespaciado1"/>
        <w:jc w:val="center"/>
        <w:rPr>
          <w:rFonts w:ascii="Arial" w:hAnsi="Arial" w:cs="Arial"/>
          <w:b/>
        </w:rPr>
      </w:pPr>
    </w:p>
    <w:p w:rsidR="007A725E" w:rsidRPr="00FE786C" w:rsidRDefault="008B7EBC" w:rsidP="007A725E">
      <w:pPr>
        <w:pStyle w:val="Sinespaciado1"/>
        <w:jc w:val="center"/>
        <w:rPr>
          <w:rFonts w:ascii="Arial" w:hAnsi="Arial" w:cs="Arial"/>
          <w:b/>
        </w:rPr>
      </w:pPr>
      <w:r>
        <w:rPr>
          <w:rFonts w:ascii="Arial" w:hAnsi="Arial" w:cs="Arial"/>
          <w:b/>
        </w:rPr>
        <w:t>SUBCONTADURÍ</w:t>
      </w:r>
      <w:r w:rsidR="007A725E" w:rsidRPr="00FE786C">
        <w:rPr>
          <w:rFonts w:ascii="Arial" w:hAnsi="Arial" w:cs="Arial"/>
          <w:b/>
        </w:rPr>
        <w:t>A D</w:t>
      </w:r>
      <w:r w:rsidR="00452D94">
        <w:rPr>
          <w:rFonts w:ascii="Arial" w:hAnsi="Arial" w:cs="Arial"/>
          <w:b/>
        </w:rPr>
        <w:t>E CONSOLIDACIÓN DE LA INFORMACIÓ</w:t>
      </w:r>
      <w:r w:rsidR="007A725E" w:rsidRPr="00FE786C">
        <w:rPr>
          <w:rFonts w:ascii="Arial" w:hAnsi="Arial" w:cs="Arial"/>
          <w:b/>
        </w:rPr>
        <w:t>N</w:t>
      </w:r>
    </w:p>
    <w:p w:rsidR="00397BFB" w:rsidRDefault="007A725E" w:rsidP="005E723D">
      <w:pPr>
        <w:pStyle w:val="Sinespaciado1"/>
        <w:jc w:val="center"/>
        <w:rPr>
          <w:rFonts w:ascii="Arial" w:hAnsi="Arial" w:cs="Arial"/>
          <w:b/>
        </w:rPr>
      </w:pPr>
      <w:r w:rsidRPr="00FE786C">
        <w:rPr>
          <w:rFonts w:ascii="Arial" w:hAnsi="Arial" w:cs="Arial"/>
          <w:b/>
        </w:rPr>
        <w:t>G</w:t>
      </w:r>
      <w:r w:rsidR="005E723D">
        <w:rPr>
          <w:rFonts w:ascii="Arial" w:hAnsi="Arial" w:cs="Arial"/>
          <w:b/>
        </w:rPr>
        <w:t>IT</w:t>
      </w:r>
      <w:r w:rsidRPr="00FE786C">
        <w:rPr>
          <w:rFonts w:ascii="Arial" w:hAnsi="Arial" w:cs="Arial"/>
          <w:b/>
        </w:rPr>
        <w:t xml:space="preserve"> DE ESTADÍSTICAS Y ANÁLISIS ECONÓMICO</w:t>
      </w:r>
    </w:p>
    <w:p w:rsidR="000634E6" w:rsidRDefault="000634E6" w:rsidP="005E723D">
      <w:pPr>
        <w:pStyle w:val="Sinespaciado1"/>
        <w:jc w:val="center"/>
        <w:rPr>
          <w:rFonts w:ascii="Arial" w:hAnsi="Arial" w:cs="Arial"/>
          <w:b/>
        </w:rPr>
      </w:pPr>
    </w:p>
    <w:p w:rsidR="000634E6" w:rsidRPr="000634E6" w:rsidRDefault="000634E6" w:rsidP="000634E6">
      <w:pPr>
        <w:jc w:val="center"/>
        <w:rPr>
          <w:rFonts w:ascii="Arial" w:hAnsi="Arial" w:cs="Arial"/>
          <w:b/>
          <w:szCs w:val="22"/>
        </w:rPr>
      </w:pPr>
      <w:r w:rsidRPr="00FE786C">
        <w:rPr>
          <w:rFonts w:ascii="Arial" w:hAnsi="Arial" w:cs="Arial"/>
          <w:b/>
          <w:szCs w:val="22"/>
        </w:rPr>
        <w:t xml:space="preserve">Bogotá D.C., </w:t>
      </w:r>
      <w:r>
        <w:rPr>
          <w:rFonts w:ascii="Arial" w:hAnsi="Arial" w:cs="Arial"/>
          <w:b/>
          <w:szCs w:val="22"/>
        </w:rPr>
        <w:t xml:space="preserve">Mayo </w:t>
      </w:r>
      <w:r w:rsidRPr="00FE786C">
        <w:rPr>
          <w:rFonts w:ascii="Arial" w:hAnsi="Arial" w:cs="Arial"/>
          <w:b/>
          <w:szCs w:val="22"/>
        </w:rPr>
        <w:t>de 201</w:t>
      </w:r>
      <w:r w:rsidR="00137A1B">
        <w:rPr>
          <w:rFonts w:ascii="Arial" w:hAnsi="Arial" w:cs="Arial"/>
          <w:b/>
          <w:szCs w:val="22"/>
        </w:rPr>
        <w:t>6</w:t>
      </w:r>
    </w:p>
    <w:p w:rsidR="00397BFB" w:rsidRPr="00796B04" w:rsidRDefault="005E723D" w:rsidP="00397BFB">
      <w:pPr>
        <w:pStyle w:val="Sinespaciado1"/>
        <w:jc w:val="both"/>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00397BFB"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CONSIDERACIONES</w:t>
      </w:r>
    </w:p>
    <w:p w:rsidR="00397BFB" w:rsidRDefault="00397BFB" w:rsidP="00D6244C">
      <w:pPr>
        <w:jc w:val="both"/>
        <w:rPr>
          <w:rFonts w:ascii="Calibri" w:hAnsi="Calibri"/>
          <w:sz w:val="22"/>
          <w:szCs w:val="22"/>
          <w:lang w:val="es-CO" w:eastAsia="es-CO"/>
        </w:rPr>
      </w:pPr>
    </w:p>
    <w:p w:rsidR="006D4382" w:rsidRDefault="00326568" w:rsidP="0027157A">
      <w:pPr>
        <w:jc w:val="both"/>
        <w:rPr>
          <w:rFonts w:ascii="Calibri" w:hAnsi="Calibri"/>
          <w:sz w:val="22"/>
          <w:szCs w:val="22"/>
          <w:lang w:val="es-CO" w:eastAsia="es-CO"/>
        </w:rPr>
      </w:pPr>
      <w:r>
        <w:rPr>
          <w:rFonts w:ascii="Calibri" w:hAnsi="Calibri"/>
          <w:sz w:val="22"/>
          <w:szCs w:val="22"/>
          <w:lang w:val="es-CO" w:eastAsia="es-CO"/>
        </w:rPr>
        <w:t>Con la expedición del Régimen de Contabilidad Pública</w:t>
      </w:r>
      <w:r w:rsidR="00712E3C">
        <w:rPr>
          <w:rFonts w:ascii="Calibri" w:hAnsi="Calibri"/>
          <w:sz w:val="22"/>
          <w:szCs w:val="22"/>
          <w:lang w:val="es-CO" w:eastAsia="es-CO"/>
        </w:rPr>
        <w:t xml:space="preserve"> (RCP)</w:t>
      </w:r>
      <w:r>
        <w:rPr>
          <w:rFonts w:ascii="Calibri" w:hAnsi="Calibri"/>
          <w:sz w:val="22"/>
          <w:szCs w:val="22"/>
          <w:lang w:val="es-CO" w:eastAsia="es-CO"/>
        </w:rPr>
        <w:t xml:space="preserve"> e</w:t>
      </w:r>
      <w:r w:rsidR="00D6244C" w:rsidRPr="00D578F7">
        <w:rPr>
          <w:rFonts w:ascii="Calibri" w:hAnsi="Calibri"/>
          <w:sz w:val="22"/>
          <w:szCs w:val="22"/>
          <w:lang w:val="es-CO" w:eastAsia="es-CO"/>
        </w:rPr>
        <w:t>n el año 2007</w:t>
      </w:r>
      <w:r w:rsidR="006B5BC4">
        <w:rPr>
          <w:rFonts w:ascii="Calibri" w:hAnsi="Calibri"/>
          <w:sz w:val="22"/>
          <w:szCs w:val="22"/>
          <w:lang w:val="es-CO" w:eastAsia="es-CO"/>
        </w:rPr>
        <w:t xml:space="preserve"> mediante las Resoluciones 354, 355 y 356 del 2006 expedidas por la Contaduría General de la Nación (CGN),</w:t>
      </w:r>
      <w:r w:rsidR="00D6244C" w:rsidRPr="00D578F7">
        <w:rPr>
          <w:rFonts w:ascii="Calibri" w:hAnsi="Calibri"/>
          <w:sz w:val="22"/>
          <w:szCs w:val="22"/>
          <w:lang w:val="es-CO" w:eastAsia="es-CO"/>
        </w:rPr>
        <w:t xml:space="preserve"> se </w:t>
      </w:r>
      <w:r>
        <w:rPr>
          <w:rFonts w:ascii="Calibri" w:hAnsi="Calibri"/>
          <w:sz w:val="22"/>
          <w:szCs w:val="22"/>
          <w:lang w:val="es-CO" w:eastAsia="es-CO"/>
        </w:rPr>
        <w:t xml:space="preserve">transforma la Contabilidad Pública en Colombia, lo cual implicó además de la creación, desaparición y </w:t>
      </w:r>
      <w:proofErr w:type="spellStart"/>
      <w:r>
        <w:rPr>
          <w:rFonts w:ascii="Calibri" w:hAnsi="Calibri"/>
          <w:sz w:val="22"/>
          <w:szCs w:val="22"/>
          <w:lang w:val="es-CO" w:eastAsia="es-CO"/>
        </w:rPr>
        <w:t>redenominación</w:t>
      </w:r>
      <w:proofErr w:type="spellEnd"/>
      <w:r>
        <w:rPr>
          <w:rFonts w:ascii="Calibri" w:hAnsi="Calibri"/>
          <w:sz w:val="22"/>
          <w:szCs w:val="22"/>
          <w:lang w:val="es-CO" w:eastAsia="es-CO"/>
        </w:rPr>
        <w:t xml:space="preserve"> de muchas cuentas, un cambio conceptual en la estructura contable pública</w:t>
      </w:r>
      <w:r w:rsidR="00712E3C">
        <w:rPr>
          <w:rFonts w:ascii="Calibri" w:hAnsi="Calibri"/>
          <w:sz w:val="22"/>
          <w:szCs w:val="22"/>
          <w:lang w:val="es-CO" w:eastAsia="es-CO"/>
        </w:rPr>
        <w:t xml:space="preserve">, en la reestructuración del </w:t>
      </w:r>
      <w:r w:rsidR="006D4382">
        <w:rPr>
          <w:rFonts w:ascii="Calibri" w:hAnsi="Calibri"/>
          <w:sz w:val="22"/>
          <w:szCs w:val="22"/>
          <w:lang w:val="es-CO" w:eastAsia="es-CO"/>
        </w:rPr>
        <w:t>Catálogo General de Cuentas (</w:t>
      </w:r>
      <w:r w:rsidR="00712E3C">
        <w:rPr>
          <w:rFonts w:ascii="Calibri" w:hAnsi="Calibri"/>
          <w:sz w:val="22"/>
          <w:szCs w:val="22"/>
          <w:lang w:val="es-CO" w:eastAsia="es-CO"/>
        </w:rPr>
        <w:t>CGC</w:t>
      </w:r>
      <w:r w:rsidR="006D4382">
        <w:rPr>
          <w:rFonts w:ascii="Calibri" w:hAnsi="Calibri"/>
          <w:sz w:val="22"/>
          <w:szCs w:val="22"/>
          <w:lang w:val="es-CO" w:eastAsia="es-CO"/>
        </w:rPr>
        <w:t>)</w:t>
      </w:r>
      <w:r w:rsidR="00712E3C">
        <w:rPr>
          <w:rFonts w:ascii="Calibri" w:hAnsi="Calibri"/>
          <w:sz w:val="22"/>
          <w:szCs w:val="22"/>
          <w:lang w:val="es-CO" w:eastAsia="es-CO"/>
        </w:rPr>
        <w:t xml:space="preserve"> y en la redefinición de los conceptos del</w:t>
      </w:r>
      <w:r w:rsidR="006D4382">
        <w:rPr>
          <w:rFonts w:ascii="Calibri" w:hAnsi="Calibri"/>
          <w:sz w:val="22"/>
          <w:szCs w:val="22"/>
          <w:lang w:val="es-CO" w:eastAsia="es-CO"/>
        </w:rPr>
        <w:t xml:space="preserve"> Plan General de Contabilidad Pública</w:t>
      </w:r>
      <w:r w:rsidR="00712E3C">
        <w:rPr>
          <w:rFonts w:ascii="Calibri" w:hAnsi="Calibri"/>
          <w:sz w:val="22"/>
          <w:szCs w:val="22"/>
          <w:lang w:val="es-CO" w:eastAsia="es-CO"/>
        </w:rPr>
        <w:t xml:space="preserve"> </w:t>
      </w:r>
      <w:r w:rsidR="006D4382">
        <w:rPr>
          <w:rFonts w:ascii="Calibri" w:hAnsi="Calibri"/>
          <w:sz w:val="22"/>
          <w:szCs w:val="22"/>
          <w:lang w:val="es-CO" w:eastAsia="es-CO"/>
        </w:rPr>
        <w:t>(</w:t>
      </w:r>
      <w:r w:rsidR="00712E3C">
        <w:rPr>
          <w:rFonts w:ascii="Calibri" w:hAnsi="Calibri"/>
          <w:sz w:val="22"/>
          <w:szCs w:val="22"/>
          <w:lang w:val="es-CO" w:eastAsia="es-CO"/>
        </w:rPr>
        <w:t>PGCP</w:t>
      </w:r>
      <w:r w:rsidR="006D4382">
        <w:rPr>
          <w:rFonts w:ascii="Calibri" w:hAnsi="Calibri"/>
          <w:sz w:val="22"/>
          <w:szCs w:val="22"/>
          <w:lang w:val="es-CO" w:eastAsia="es-CO"/>
        </w:rPr>
        <w:t>)</w:t>
      </w:r>
      <w:r w:rsidR="00712E3C">
        <w:rPr>
          <w:rFonts w:ascii="Calibri" w:hAnsi="Calibri"/>
          <w:sz w:val="22"/>
          <w:szCs w:val="22"/>
          <w:lang w:val="es-CO" w:eastAsia="es-CO"/>
        </w:rPr>
        <w:t xml:space="preserve"> en consonancia </w:t>
      </w:r>
      <w:r w:rsidR="00712E3C" w:rsidRPr="00D578F7">
        <w:rPr>
          <w:rFonts w:ascii="Calibri" w:hAnsi="Calibri"/>
          <w:sz w:val="22"/>
          <w:szCs w:val="22"/>
          <w:lang w:val="es-CO" w:eastAsia="es-CO"/>
        </w:rPr>
        <w:t>con la</w:t>
      </w:r>
      <w:r w:rsidR="000826D0">
        <w:rPr>
          <w:rFonts w:ascii="Calibri" w:hAnsi="Calibri"/>
          <w:sz w:val="22"/>
          <w:szCs w:val="22"/>
          <w:lang w:val="es-CO" w:eastAsia="es-CO"/>
        </w:rPr>
        <w:t>s Normas Internacionales de Contabilidad para el Sector Público</w:t>
      </w:r>
      <w:r w:rsidR="00712E3C" w:rsidRPr="00D578F7">
        <w:rPr>
          <w:rFonts w:ascii="Calibri" w:hAnsi="Calibri"/>
          <w:sz w:val="22"/>
          <w:szCs w:val="22"/>
          <w:lang w:val="es-CO" w:eastAsia="es-CO"/>
        </w:rPr>
        <w:t xml:space="preserve"> </w:t>
      </w:r>
      <w:r w:rsidR="000826D0">
        <w:rPr>
          <w:rFonts w:ascii="Calibri" w:hAnsi="Calibri"/>
          <w:sz w:val="22"/>
          <w:szCs w:val="22"/>
          <w:lang w:val="es-CO" w:eastAsia="es-CO"/>
        </w:rPr>
        <w:t>(</w:t>
      </w:r>
      <w:r w:rsidR="00712E3C" w:rsidRPr="00D578F7">
        <w:rPr>
          <w:rFonts w:ascii="Calibri" w:hAnsi="Calibri"/>
          <w:sz w:val="22"/>
          <w:szCs w:val="22"/>
          <w:lang w:val="es-CO" w:eastAsia="es-CO"/>
        </w:rPr>
        <w:t>NICSP</w:t>
      </w:r>
      <w:r w:rsidR="000826D0">
        <w:rPr>
          <w:rFonts w:ascii="Calibri" w:hAnsi="Calibri"/>
          <w:sz w:val="22"/>
          <w:szCs w:val="22"/>
          <w:lang w:val="es-CO" w:eastAsia="es-CO"/>
        </w:rPr>
        <w:t>)</w:t>
      </w:r>
      <w:r w:rsidR="00712E3C" w:rsidRPr="00D578F7">
        <w:rPr>
          <w:rFonts w:ascii="Calibri" w:hAnsi="Calibri"/>
          <w:sz w:val="22"/>
          <w:szCs w:val="22"/>
          <w:lang w:val="es-CO" w:eastAsia="es-CO"/>
        </w:rPr>
        <w:t xml:space="preserve"> y la cobertura de aplicación</w:t>
      </w:r>
      <w:r>
        <w:rPr>
          <w:rFonts w:ascii="Calibri" w:hAnsi="Calibri"/>
          <w:sz w:val="22"/>
          <w:szCs w:val="22"/>
          <w:lang w:val="es-CO" w:eastAsia="es-CO"/>
        </w:rPr>
        <w:t xml:space="preserve">. </w:t>
      </w:r>
    </w:p>
    <w:p w:rsidR="006D4382" w:rsidRDefault="006D4382" w:rsidP="0027157A">
      <w:pPr>
        <w:jc w:val="both"/>
        <w:rPr>
          <w:rFonts w:ascii="Calibri" w:hAnsi="Calibri"/>
          <w:sz w:val="22"/>
          <w:szCs w:val="22"/>
          <w:lang w:val="es-CO" w:eastAsia="es-CO"/>
        </w:rPr>
      </w:pPr>
    </w:p>
    <w:p w:rsidR="0027157A" w:rsidRPr="00F534F0" w:rsidRDefault="0027157A" w:rsidP="0027157A">
      <w:pPr>
        <w:pStyle w:val="Default"/>
        <w:jc w:val="both"/>
        <w:rPr>
          <w:rFonts w:cs="Times New Roman"/>
          <w:color w:val="auto"/>
          <w:sz w:val="22"/>
          <w:szCs w:val="22"/>
          <w:lang w:val="es-CO" w:eastAsia="es-CO"/>
        </w:rPr>
      </w:pPr>
      <w:r w:rsidRPr="00F534F0">
        <w:rPr>
          <w:rFonts w:cs="Times New Roman"/>
          <w:color w:val="auto"/>
          <w:sz w:val="22"/>
          <w:szCs w:val="22"/>
          <w:lang w:val="es-CO" w:eastAsia="es-CO"/>
        </w:rPr>
        <w:t xml:space="preserve">Debido a la dificultad en la homologación del CGC entre los años 2006 y 2007 se tomó la decisión de realizar las Series Históricas en dos periodos diferentes, el primero entre los años 1996 y 2006, y el segundo entre los años 2007 y subsiguientes, </w:t>
      </w:r>
      <w:r w:rsidRPr="00F534F0">
        <w:rPr>
          <w:sz w:val="22"/>
          <w:szCs w:val="22"/>
          <w:lang w:val="es-CO" w:eastAsia="es-CO"/>
        </w:rPr>
        <w:t xml:space="preserve">siendo éste último el </w:t>
      </w:r>
      <w:r w:rsidRPr="00F534F0">
        <w:rPr>
          <w:rFonts w:cs="Times New Roman"/>
          <w:color w:val="auto"/>
          <w:sz w:val="22"/>
          <w:szCs w:val="22"/>
          <w:lang w:val="es-CO" w:eastAsia="es-CO"/>
        </w:rPr>
        <w:t xml:space="preserve">objeto de la presente nota metodológica. </w:t>
      </w:r>
    </w:p>
    <w:p w:rsidR="0027157A" w:rsidRPr="00F534F0" w:rsidRDefault="0027157A" w:rsidP="0027157A">
      <w:pPr>
        <w:pStyle w:val="Default"/>
        <w:jc w:val="both"/>
        <w:rPr>
          <w:rFonts w:cs="Times New Roman"/>
          <w:color w:val="auto"/>
          <w:sz w:val="22"/>
          <w:szCs w:val="22"/>
          <w:lang w:val="es-CO" w:eastAsia="es-CO"/>
        </w:rPr>
      </w:pPr>
    </w:p>
    <w:p w:rsidR="0027157A" w:rsidRPr="00F534F0" w:rsidRDefault="0027157A" w:rsidP="0027157A">
      <w:pPr>
        <w:jc w:val="both"/>
        <w:rPr>
          <w:rFonts w:ascii="Calibri" w:hAnsi="Calibri"/>
          <w:sz w:val="22"/>
          <w:szCs w:val="22"/>
          <w:lang w:val="es-CO" w:eastAsia="es-CO"/>
        </w:rPr>
      </w:pPr>
      <w:r w:rsidRPr="00F534F0">
        <w:rPr>
          <w:rFonts w:ascii="Calibri" w:hAnsi="Calibri"/>
          <w:sz w:val="22"/>
          <w:szCs w:val="22"/>
          <w:lang w:val="es-CO" w:eastAsia="es-CO"/>
        </w:rPr>
        <w:t>Las situaciones que determinaron modificaciones al CGC durante el lapso comprendido entre los años 2007 y 201</w:t>
      </w:r>
      <w:r w:rsidR="00052DE7" w:rsidRPr="00F534F0">
        <w:rPr>
          <w:rFonts w:ascii="Calibri" w:hAnsi="Calibri"/>
          <w:sz w:val="22"/>
          <w:szCs w:val="22"/>
          <w:lang w:val="es-CO" w:eastAsia="es-CO"/>
        </w:rPr>
        <w:t>5</w:t>
      </w:r>
      <w:r w:rsidRPr="00F534F0">
        <w:rPr>
          <w:rFonts w:ascii="Calibri" w:hAnsi="Calibri"/>
          <w:sz w:val="22"/>
          <w:szCs w:val="22"/>
          <w:lang w:val="es-CO" w:eastAsia="es-CO"/>
        </w:rPr>
        <w:t xml:space="preserve"> se resumen a continuación:</w:t>
      </w:r>
    </w:p>
    <w:p w:rsidR="006B5BC4" w:rsidRPr="00F534F0" w:rsidRDefault="006B5BC4" w:rsidP="006B5BC4">
      <w:pPr>
        <w:jc w:val="both"/>
        <w:rPr>
          <w:rFonts w:ascii="Calibri" w:hAnsi="Calibri"/>
          <w:sz w:val="22"/>
          <w:szCs w:val="22"/>
          <w:lang w:val="es-CO" w:eastAsia="es-CO"/>
        </w:rPr>
      </w:pPr>
    </w:p>
    <w:p w:rsidR="00D6244C" w:rsidRPr="00F534F0" w:rsidRDefault="00400A6E" w:rsidP="00D6244C">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558 del 2008: Registro de los contratos de </w:t>
      </w:r>
      <w:r w:rsidR="00D6244C" w:rsidRPr="00F534F0">
        <w:rPr>
          <w:rFonts w:ascii="Calibri" w:hAnsi="Calibri"/>
          <w:sz w:val="22"/>
          <w:szCs w:val="22"/>
          <w:lang w:val="es-CO" w:eastAsia="es-CO"/>
        </w:rPr>
        <w:t>estabilidad jurídica</w:t>
      </w:r>
      <w:r w:rsidR="002A69BB" w:rsidRPr="00F534F0">
        <w:rPr>
          <w:rFonts w:ascii="Calibri" w:hAnsi="Calibri"/>
          <w:sz w:val="22"/>
          <w:szCs w:val="22"/>
          <w:lang w:val="es-CO" w:eastAsia="es-CO"/>
        </w:rPr>
        <w:t xml:space="preserve"> y elimina</w:t>
      </w:r>
      <w:r w:rsidR="006B5BC4" w:rsidRPr="00F534F0">
        <w:rPr>
          <w:rFonts w:ascii="Calibri" w:hAnsi="Calibri"/>
          <w:sz w:val="22"/>
          <w:szCs w:val="22"/>
          <w:lang w:val="es-CO" w:eastAsia="es-CO"/>
        </w:rPr>
        <w:t>ció</w:t>
      </w:r>
      <w:r w:rsidR="002A69BB" w:rsidRPr="00F534F0">
        <w:rPr>
          <w:rFonts w:ascii="Calibri" w:hAnsi="Calibri"/>
          <w:sz w:val="22"/>
          <w:szCs w:val="22"/>
          <w:lang w:val="es-CO" w:eastAsia="es-CO"/>
        </w:rPr>
        <w:t xml:space="preserve">n de </w:t>
      </w:r>
      <w:r w:rsidR="00F9439A" w:rsidRPr="00F534F0">
        <w:rPr>
          <w:rFonts w:ascii="Calibri" w:hAnsi="Calibri"/>
          <w:sz w:val="22"/>
          <w:szCs w:val="22"/>
          <w:lang w:val="es-CO" w:eastAsia="es-CO"/>
        </w:rPr>
        <w:t xml:space="preserve">las reservas extraídas de hidrocarburos capitalizadas por ECOPETROL S.A. de los </w:t>
      </w:r>
      <w:r w:rsidR="002A69BB" w:rsidRPr="00F534F0">
        <w:rPr>
          <w:rFonts w:ascii="Calibri" w:hAnsi="Calibri"/>
          <w:sz w:val="22"/>
          <w:szCs w:val="22"/>
          <w:lang w:val="es-CO" w:eastAsia="es-CO"/>
        </w:rPr>
        <w:t>Aportes en especie</w:t>
      </w:r>
      <w:r w:rsidR="00F9439A" w:rsidRPr="00F534F0">
        <w:rPr>
          <w:rFonts w:ascii="Calibri" w:hAnsi="Calibri"/>
          <w:sz w:val="22"/>
          <w:szCs w:val="22"/>
          <w:lang w:val="es-CO" w:eastAsia="es-CO"/>
        </w:rPr>
        <w:t>.</w:t>
      </w:r>
    </w:p>
    <w:p w:rsidR="00D6244C" w:rsidRPr="00F534F0" w:rsidRDefault="00D6244C" w:rsidP="00D6244C">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585 de 2009</w:t>
      </w:r>
      <w:r w:rsidR="002A69BB" w:rsidRPr="00F534F0">
        <w:rPr>
          <w:rFonts w:ascii="Calibri" w:hAnsi="Calibri"/>
          <w:sz w:val="22"/>
          <w:szCs w:val="22"/>
          <w:lang w:val="es-CO" w:eastAsia="es-CO"/>
        </w:rPr>
        <w:t>: D</w:t>
      </w:r>
      <w:r w:rsidRPr="00F534F0">
        <w:rPr>
          <w:rFonts w:ascii="Calibri" w:hAnsi="Calibri"/>
          <w:sz w:val="22"/>
          <w:szCs w:val="22"/>
          <w:lang w:val="es-CO" w:eastAsia="es-CO"/>
        </w:rPr>
        <w:t>efine el procedimiento contable para el reconocimiento y revelación de los negocios fiduciarios en los que la entidad contable pública participa como fideicomitente.</w:t>
      </w:r>
    </w:p>
    <w:p w:rsidR="002A69BB" w:rsidRPr="00F534F0" w:rsidRDefault="00D6244C" w:rsidP="00D6244C">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44 de 2010</w:t>
      </w:r>
      <w:r w:rsidR="002A69BB" w:rsidRPr="00F534F0">
        <w:rPr>
          <w:rFonts w:ascii="Calibri" w:hAnsi="Calibri"/>
          <w:sz w:val="22"/>
          <w:szCs w:val="22"/>
          <w:lang w:val="es-CO" w:eastAsia="es-CO"/>
        </w:rPr>
        <w:t>: Registro para el reconocimiento del impuesto</w:t>
      </w:r>
      <w:r w:rsidRPr="00F534F0">
        <w:rPr>
          <w:rFonts w:ascii="Calibri" w:hAnsi="Calibri"/>
          <w:sz w:val="22"/>
          <w:szCs w:val="22"/>
          <w:lang w:val="es-CO" w:eastAsia="es-CO"/>
        </w:rPr>
        <w:t xml:space="preserve"> con destino al turismo</w:t>
      </w:r>
      <w:r w:rsidR="002A69BB" w:rsidRPr="00F534F0">
        <w:rPr>
          <w:rFonts w:ascii="Calibri" w:hAnsi="Calibri"/>
          <w:sz w:val="22"/>
          <w:szCs w:val="22"/>
          <w:lang w:val="es-CO" w:eastAsia="es-CO"/>
        </w:rPr>
        <w:t>.</w:t>
      </w:r>
    </w:p>
    <w:p w:rsidR="00D6244C" w:rsidRPr="00F534F0" w:rsidRDefault="00D6244C" w:rsidP="00D6244C">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391 </w:t>
      </w:r>
      <w:r w:rsidR="002A69BB" w:rsidRPr="00F534F0">
        <w:rPr>
          <w:rFonts w:ascii="Calibri" w:hAnsi="Calibri"/>
          <w:sz w:val="22"/>
          <w:szCs w:val="22"/>
          <w:lang w:val="es-CO" w:eastAsia="es-CO"/>
        </w:rPr>
        <w:t>de 2010: Se identifica</w:t>
      </w:r>
      <w:r w:rsidRPr="00F534F0">
        <w:rPr>
          <w:rFonts w:ascii="Calibri" w:hAnsi="Calibri"/>
          <w:sz w:val="22"/>
          <w:szCs w:val="22"/>
          <w:lang w:val="es-CO" w:eastAsia="es-CO"/>
        </w:rPr>
        <w:t xml:space="preserve">n </w:t>
      </w:r>
      <w:r w:rsidR="002A69BB" w:rsidRPr="00F534F0">
        <w:rPr>
          <w:rFonts w:ascii="Calibri" w:hAnsi="Calibri"/>
          <w:sz w:val="22"/>
          <w:szCs w:val="22"/>
          <w:lang w:val="es-CO" w:eastAsia="es-CO"/>
        </w:rPr>
        <w:t>lo</w:t>
      </w:r>
      <w:r w:rsidRPr="00F534F0">
        <w:rPr>
          <w:rFonts w:ascii="Calibri" w:hAnsi="Calibri"/>
          <w:sz w:val="22"/>
          <w:szCs w:val="22"/>
          <w:lang w:val="es-CO" w:eastAsia="es-CO"/>
        </w:rPr>
        <w:t xml:space="preserve"> impuestos </w:t>
      </w:r>
      <w:r w:rsidR="002A69BB" w:rsidRPr="00F534F0">
        <w:rPr>
          <w:rFonts w:ascii="Calibri" w:hAnsi="Calibri"/>
          <w:sz w:val="22"/>
          <w:szCs w:val="22"/>
          <w:lang w:val="es-CO" w:eastAsia="es-CO"/>
        </w:rPr>
        <w:t>territoriales</w:t>
      </w:r>
      <w:r w:rsidRPr="00F534F0">
        <w:rPr>
          <w:rFonts w:ascii="Calibri" w:hAnsi="Calibri"/>
          <w:sz w:val="22"/>
          <w:szCs w:val="22"/>
          <w:lang w:val="es-CO" w:eastAsia="es-CO"/>
        </w:rPr>
        <w:t>.</w:t>
      </w:r>
    </w:p>
    <w:p w:rsidR="00A27BAC" w:rsidRPr="00F534F0" w:rsidRDefault="00D6244C" w:rsidP="00D6244C">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421 de 2011</w:t>
      </w:r>
      <w:r w:rsidR="002A69BB" w:rsidRPr="00F534F0">
        <w:rPr>
          <w:rFonts w:ascii="Calibri" w:hAnsi="Calibri"/>
          <w:sz w:val="22"/>
          <w:szCs w:val="22"/>
          <w:lang w:val="es-CO" w:eastAsia="es-CO"/>
        </w:rPr>
        <w:t xml:space="preserve">: </w:t>
      </w:r>
      <w:r w:rsidR="00F9439A" w:rsidRPr="00F534F0">
        <w:rPr>
          <w:rFonts w:ascii="Calibri" w:hAnsi="Calibri"/>
          <w:sz w:val="22"/>
          <w:szCs w:val="22"/>
          <w:lang w:val="es-CO" w:eastAsia="es-CO"/>
        </w:rPr>
        <w:t>Se</w:t>
      </w:r>
      <w:r w:rsidR="00A27BAC" w:rsidRPr="00F534F0">
        <w:rPr>
          <w:rFonts w:ascii="Calibri" w:hAnsi="Calibri"/>
          <w:sz w:val="22"/>
          <w:szCs w:val="22"/>
          <w:lang w:val="es-CO" w:eastAsia="es-CO"/>
        </w:rPr>
        <w:t xml:space="preserve"> identifica</w:t>
      </w:r>
      <w:r w:rsidR="00F9439A" w:rsidRPr="00F534F0">
        <w:rPr>
          <w:rFonts w:ascii="Calibri" w:hAnsi="Calibri"/>
          <w:sz w:val="22"/>
          <w:szCs w:val="22"/>
          <w:lang w:val="es-CO" w:eastAsia="es-CO"/>
        </w:rPr>
        <w:t>n</w:t>
      </w:r>
      <w:r w:rsidR="00A27BAC" w:rsidRPr="00F534F0">
        <w:rPr>
          <w:rFonts w:ascii="Calibri" w:hAnsi="Calibri"/>
          <w:sz w:val="22"/>
          <w:szCs w:val="22"/>
          <w:lang w:val="es-CO" w:eastAsia="es-CO"/>
        </w:rPr>
        <w:t xml:space="preserve"> los derechos a cobrar con facturación radicada y con facturación pendiente de radicar, así como los abonos a la cartera por los mecanismos de giro directo y giro previo autorizados legalmente.</w:t>
      </w:r>
    </w:p>
    <w:p w:rsidR="00D6244C" w:rsidRPr="00F534F0" w:rsidRDefault="00D6244C"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423 </w:t>
      </w:r>
      <w:r w:rsidR="00A27BAC" w:rsidRPr="00F534F0">
        <w:rPr>
          <w:rFonts w:ascii="Calibri" w:hAnsi="Calibri"/>
          <w:sz w:val="22"/>
          <w:szCs w:val="22"/>
          <w:lang w:val="es-CO" w:eastAsia="es-CO"/>
        </w:rPr>
        <w:t>de 2011: C</w:t>
      </w:r>
      <w:r w:rsidRPr="00F534F0">
        <w:rPr>
          <w:rFonts w:ascii="Calibri" w:hAnsi="Calibri"/>
          <w:sz w:val="22"/>
          <w:szCs w:val="22"/>
          <w:lang w:val="es-CO" w:eastAsia="es-CO"/>
        </w:rPr>
        <w:t>rea y describe cuentas y subcuentas, además de modificar el procedimiento contable para el reconocimiento y revelación, por un lado de los recursos del FONPET y por el otro de los negocios fiduciarios en los que la entidad contable pública participa como fideicomitente.</w:t>
      </w:r>
    </w:p>
    <w:p w:rsidR="00B7637B" w:rsidRPr="00F534F0" w:rsidRDefault="00B7637B" w:rsidP="00B7637B">
      <w:pPr>
        <w:pStyle w:val="Default"/>
        <w:numPr>
          <w:ilvl w:val="0"/>
          <w:numId w:val="23"/>
        </w:numPr>
        <w:spacing w:after="18"/>
        <w:jc w:val="both"/>
        <w:rPr>
          <w:rFonts w:cs="Times New Roman"/>
          <w:color w:val="auto"/>
          <w:sz w:val="22"/>
          <w:szCs w:val="22"/>
          <w:lang w:val="es-CO" w:eastAsia="es-CO"/>
        </w:rPr>
      </w:pPr>
      <w:r w:rsidRPr="00F534F0">
        <w:rPr>
          <w:rFonts w:cs="Times New Roman"/>
          <w:color w:val="auto"/>
          <w:sz w:val="22"/>
          <w:szCs w:val="22"/>
          <w:lang w:val="es-CO" w:eastAsia="es-CO"/>
        </w:rPr>
        <w:t xml:space="preserve">Resolución 453 de 2012: Se crean cuentas para Cartera adquirida por movilización de activos (CISA). </w:t>
      </w:r>
    </w:p>
    <w:p w:rsidR="00B7637B" w:rsidRPr="00F534F0" w:rsidRDefault="00B7637B" w:rsidP="00B7637B">
      <w:pPr>
        <w:pStyle w:val="Default"/>
        <w:numPr>
          <w:ilvl w:val="0"/>
          <w:numId w:val="23"/>
        </w:numPr>
        <w:jc w:val="both"/>
        <w:rPr>
          <w:rFonts w:cs="Times New Roman"/>
          <w:color w:val="auto"/>
          <w:sz w:val="22"/>
          <w:szCs w:val="22"/>
          <w:lang w:val="es-CO" w:eastAsia="es-CO"/>
        </w:rPr>
      </w:pPr>
      <w:r w:rsidRPr="00F534F0">
        <w:rPr>
          <w:rFonts w:cs="Times New Roman"/>
          <w:color w:val="auto"/>
          <w:sz w:val="22"/>
          <w:szCs w:val="22"/>
          <w:lang w:val="es-CO" w:eastAsia="es-CO"/>
        </w:rPr>
        <w:t xml:space="preserve">Resolución 626 de 2012: Se crea la Contribución parafiscal cultural. </w:t>
      </w:r>
    </w:p>
    <w:p w:rsidR="00B7637B" w:rsidRPr="00F534F0" w:rsidRDefault="006B6CB8"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52 de 2013: Se modifica el CGC para facilitar la identificación y registro de los recursos asignados al Departamento Nacional de Planeación (DANE), destinados al fortalecimiento de las secretarías técnicas de los Órganos Colegiados de Administración y Decisión (OCAD).</w:t>
      </w:r>
    </w:p>
    <w:p w:rsidR="00EF58B6" w:rsidRPr="00F534F0" w:rsidRDefault="00EF58B6"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159 de 2013: Se crean y </w:t>
      </w:r>
      <w:proofErr w:type="spellStart"/>
      <w:r w:rsidRPr="00F534F0">
        <w:rPr>
          <w:rFonts w:ascii="Calibri" w:hAnsi="Calibri"/>
          <w:sz w:val="22"/>
          <w:szCs w:val="22"/>
          <w:lang w:val="es-CO" w:eastAsia="es-CO"/>
        </w:rPr>
        <w:t>redenominan</w:t>
      </w:r>
      <w:proofErr w:type="spellEnd"/>
      <w:r w:rsidRPr="00F534F0">
        <w:rPr>
          <w:rFonts w:ascii="Calibri" w:hAnsi="Calibri"/>
          <w:sz w:val="22"/>
          <w:szCs w:val="22"/>
          <w:lang w:val="es-CO" w:eastAsia="es-CO"/>
        </w:rPr>
        <w:t xml:space="preserve"> subcuentas por la creación de los impuestos: Impuesto sobre la Renta para la Equidad (CREE), Impuesto nacional al consumo e Impuesto Nacional a la Gasolina y al ACPM.</w:t>
      </w:r>
    </w:p>
    <w:p w:rsidR="006E317E" w:rsidRPr="00F534F0" w:rsidRDefault="006E317E"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160 de 2013: </w:t>
      </w:r>
      <w:r w:rsidR="00542659" w:rsidRPr="00F534F0">
        <w:rPr>
          <w:rFonts w:ascii="Calibri" w:hAnsi="Calibri"/>
          <w:sz w:val="22"/>
          <w:szCs w:val="22"/>
          <w:lang w:val="es-CO" w:eastAsia="es-CO"/>
        </w:rPr>
        <w:t xml:space="preserve">Se crean y </w:t>
      </w:r>
      <w:proofErr w:type="spellStart"/>
      <w:r w:rsidR="00542659" w:rsidRPr="00F534F0">
        <w:rPr>
          <w:rFonts w:ascii="Calibri" w:hAnsi="Calibri"/>
          <w:sz w:val="22"/>
          <w:szCs w:val="22"/>
          <w:lang w:val="es-CO" w:eastAsia="es-CO"/>
        </w:rPr>
        <w:t>redenominan</w:t>
      </w:r>
      <w:proofErr w:type="spellEnd"/>
      <w:r w:rsidR="00542659" w:rsidRPr="00F534F0">
        <w:rPr>
          <w:rFonts w:ascii="Calibri" w:hAnsi="Calibri"/>
          <w:sz w:val="22"/>
          <w:szCs w:val="22"/>
          <w:lang w:val="es-CO" w:eastAsia="es-CO"/>
        </w:rPr>
        <w:t xml:space="preserve"> subcuentas y se revisa, redefine y describe el procedimiento contable para el </w:t>
      </w:r>
      <w:r w:rsidR="00AE58B2" w:rsidRPr="00F534F0">
        <w:rPr>
          <w:rFonts w:ascii="Calibri" w:hAnsi="Calibri"/>
          <w:sz w:val="22"/>
          <w:szCs w:val="22"/>
          <w:lang w:val="es-CO" w:eastAsia="es-CO"/>
        </w:rPr>
        <w:t xml:space="preserve">reconocimiento y revelación de los hechos contables </w:t>
      </w:r>
      <w:r w:rsidR="00AE58B2" w:rsidRPr="00F534F0">
        <w:rPr>
          <w:rFonts w:ascii="Calibri" w:hAnsi="Calibri"/>
          <w:sz w:val="22"/>
          <w:szCs w:val="22"/>
          <w:lang w:val="es-CO" w:eastAsia="es-CO"/>
        </w:rPr>
        <w:lastRenderedPageBreak/>
        <w:t xml:space="preserve">relacionados con el </w:t>
      </w:r>
      <w:r w:rsidR="00542659" w:rsidRPr="00F534F0">
        <w:rPr>
          <w:rFonts w:ascii="Calibri" w:hAnsi="Calibri"/>
          <w:sz w:val="22"/>
          <w:szCs w:val="22"/>
          <w:lang w:val="es-CO" w:eastAsia="es-CO"/>
        </w:rPr>
        <w:t>proceso de compensación del Fondo de Solidaridad y Garantía (FOSYGA)</w:t>
      </w:r>
      <w:r w:rsidR="00AE58B2" w:rsidRPr="00F534F0">
        <w:rPr>
          <w:rFonts w:ascii="Calibri" w:hAnsi="Calibri"/>
          <w:sz w:val="22"/>
          <w:szCs w:val="22"/>
          <w:lang w:val="es-CO" w:eastAsia="es-CO"/>
        </w:rPr>
        <w:t xml:space="preserve"> y para las Empresas Promotoras de Salud (EPS) y Entidades Obligadas a Compensar (EOC), quienes recaudan las cotizaciones a través de cuentas maestras, así como para el Ministerio de Salud y Protección Social.</w:t>
      </w:r>
    </w:p>
    <w:p w:rsidR="00F321D9" w:rsidRPr="00F534F0" w:rsidRDefault="00F321D9"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459 de 2013: </w:t>
      </w:r>
      <w:r w:rsidR="005D231A" w:rsidRPr="00F534F0">
        <w:rPr>
          <w:rFonts w:ascii="Calibri" w:hAnsi="Calibri"/>
          <w:sz w:val="22"/>
          <w:szCs w:val="22"/>
          <w:lang w:val="es-CO" w:eastAsia="es-CO"/>
        </w:rPr>
        <w:t>Se crean cuentas con el fin de identificar y revelar por separado hechos contables generados por la operación de la Empresa Colombiana de Petróleos (ECOPETROL S.A.) en cuanto a sus productos petroquímicos que se encuentran en poder de terceros.</w:t>
      </w:r>
    </w:p>
    <w:p w:rsidR="005D231A" w:rsidRPr="00F534F0" w:rsidRDefault="005D231A"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498 de 2013: </w:t>
      </w:r>
      <w:r w:rsidR="004B3366" w:rsidRPr="00F534F0">
        <w:rPr>
          <w:rFonts w:ascii="Calibri" w:hAnsi="Calibri"/>
          <w:sz w:val="22"/>
          <w:szCs w:val="22"/>
          <w:lang w:val="es-CO" w:eastAsia="es-CO"/>
        </w:rPr>
        <w:t xml:space="preserve">Se </w:t>
      </w:r>
      <w:r w:rsidR="003D2AE3" w:rsidRPr="00F534F0">
        <w:rPr>
          <w:rFonts w:ascii="Calibri" w:hAnsi="Calibri"/>
          <w:sz w:val="22"/>
          <w:szCs w:val="22"/>
          <w:lang w:val="es-CO" w:eastAsia="es-CO"/>
        </w:rPr>
        <w:t>corrige error de la Resolución 459 de 2013, la cual asignó un código que ya estaba asignado.</w:t>
      </w:r>
    </w:p>
    <w:p w:rsidR="003D2AE3" w:rsidRPr="00F534F0" w:rsidRDefault="003D2AE3"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 xml:space="preserve">Resolución 499 de 2013: </w:t>
      </w:r>
      <w:r w:rsidR="004B3366" w:rsidRPr="00F534F0">
        <w:rPr>
          <w:rFonts w:ascii="Calibri" w:hAnsi="Calibri"/>
          <w:sz w:val="22"/>
          <w:szCs w:val="22"/>
          <w:lang w:val="es-CO" w:eastAsia="es-CO"/>
        </w:rPr>
        <w:t>Se crean subcuentas y se modifica las descripciones y dinámicas de cuentas, debido a la creación de la Autoridad Nacional de Televisión (ANTV) y del Fondo para el Desarrollo de la Televisión y los Contenidos (FONTV).</w:t>
      </w:r>
    </w:p>
    <w:p w:rsidR="00005B14" w:rsidRPr="00F534F0" w:rsidRDefault="00005B14" w:rsidP="00005B14">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103 de 2014: Se crean y se eliminan subcuentas en la estructura del Catálogo General de Cuentas.</w:t>
      </w:r>
    </w:p>
    <w:p w:rsidR="00005B14" w:rsidRPr="00F534F0" w:rsidRDefault="00AA0D84"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256 de 2014: Se crean subcuentas y se modifican l</w:t>
      </w:r>
      <w:r w:rsidR="00B92A5D" w:rsidRPr="00F534F0">
        <w:rPr>
          <w:rFonts w:ascii="Calibri" w:hAnsi="Calibri"/>
          <w:sz w:val="22"/>
          <w:szCs w:val="22"/>
          <w:lang w:val="es-CO" w:eastAsia="es-CO"/>
        </w:rPr>
        <w:t>os</w:t>
      </w:r>
      <w:r w:rsidRPr="00F534F0">
        <w:rPr>
          <w:rFonts w:ascii="Calibri" w:hAnsi="Calibri"/>
          <w:sz w:val="22"/>
          <w:szCs w:val="22"/>
          <w:lang w:val="es-CO" w:eastAsia="es-CO"/>
        </w:rPr>
        <w:t xml:space="preserve"> </w:t>
      </w:r>
      <w:r w:rsidR="00B92A5D" w:rsidRPr="00F534F0">
        <w:rPr>
          <w:rFonts w:ascii="Calibri" w:hAnsi="Calibri"/>
          <w:sz w:val="22"/>
          <w:szCs w:val="22"/>
          <w:lang w:val="es-CO" w:eastAsia="es-CO"/>
        </w:rPr>
        <w:t>numerales 7.1, 7.2 y 8.2 del Procedimiento Contable para el Reconocimiento y Revelación de los recursos del Sistema General de Regalías</w:t>
      </w:r>
      <w:r w:rsidRPr="00F534F0">
        <w:rPr>
          <w:rFonts w:ascii="Calibri" w:hAnsi="Calibri"/>
          <w:sz w:val="22"/>
          <w:szCs w:val="22"/>
          <w:lang w:val="es-CO" w:eastAsia="es-CO"/>
        </w:rPr>
        <w:t>.</w:t>
      </w:r>
    </w:p>
    <w:p w:rsidR="00C239A8" w:rsidRPr="00F534F0" w:rsidRDefault="00C239A8"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633 de 2014: Por la cual se modifica el Manual de Procedimientos Contables del Régimen de Contabilidad Pública incorporando el Procedimiento contable para el reconocimiento y revelación del pasivo pensional y de los recursos que lo financian, en las entidades responsables del pasivo pensional.</w:t>
      </w:r>
    </w:p>
    <w:p w:rsidR="00592EC3" w:rsidRPr="00F534F0" w:rsidRDefault="00592EC3"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634 de 2014: Por la cual se modifica el Manual de Procedimientos del Régimen de Contabilidad Pública, incorporando el Procedimiento contable para el reconocimiento y revelación de los hechos relacionados con los fondos de reservas de pensiones y se dictan otras disposiciones.</w:t>
      </w:r>
    </w:p>
    <w:p w:rsidR="0003501B" w:rsidRPr="00F534F0" w:rsidRDefault="0003501B"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635 de 2014: Por la cual se modifica el Manual de Procedimientos del Régimen de Contabilidad Pública, incorporando el Procedimiento contable para el reconocimiento y revelación de los hechos relacionados con la gestión de pensiones de la UGPP y se dictan otras dispos</w:t>
      </w:r>
      <w:r w:rsidR="00BD2083" w:rsidRPr="00F534F0">
        <w:rPr>
          <w:rFonts w:ascii="Calibri" w:hAnsi="Calibri"/>
          <w:sz w:val="22"/>
          <w:szCs w:val="22"/>
          <w:lang w:val="es-CO" w:eastAsia="es-CO"/>
        </w:rPr>
        <w:t>i</w:t>
      </w:r>
      <w:r w:rsidRPr="00F534F0">
        <w:rPr>
          <w:rFonts w:ascii="Calibri" w:hAnsi="Calibri"/>
          <w:sz w:val="22"/>
          <w:szCs w:val="22"/>
          <w:lang w:val="es-CO" w:eastAsia="es-CO"/>
        </w:rPr>
        <w:t>ciones.</w:t>
      </w:r>
    </w:p>
    <w:p w:rsidR="00D20FE7" w:rsidRPr="00F534F0" w:rsidRDefault="00D20FE7" w:rsidP="00B7637B">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038 de 2015: Por la Cual se modifica el Manual de Procedimientos del Régimen de Contabilidad Pública, incorporando el Procedimiento Contable para el reconocimiento y revelación de los saldos disponibles en patrimonios autónomos y otros recursos entregados en administración que se constituyen con recursos de entidades contables públicas ejecutoras del Presupuesto General de la Nación.</w:t>
      </w:r>
    </w:p>
    <w:p w:rsidR="00052DE7" w:rsidRPr="00F534F0" w:rsidRDefault="00052DE7" w:rsidP="00052DE7">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039 de 2015: Por la cual se modifica la descripción y dinámica de la cuenta 2625- BONOS PENSIONALES del Catálogo General de Cuentas del Régimen de Contabilidad Pública.</w:t>
      </w:r>
    </w:p>
    <w:p w:rsidR="00052DE7" w:rsidRPr="00F534F0" w:rsidRDefault="00C33478" w:rsidP="00C33478">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041 de 2015: Por medio de la cual se modifica el Catálogo General de cuentas del Manual de Procedimientos del Régimen de Contabilidad Pública, para incorporar los conceptos de las nuevas rentas creadas en la Ley 1739 del 2014. Estas Resoluciones son fechadas el 9 de febrero de 2015.</w:t>
      </w:r>
    </w:p>
    <w:p w:rsidR="00F22009" w:rsidRPr="00F534F0" w:rsidRDefault="002F7D97" w:rsidP="002F7D97">
      <w:pPr>
        <w:numPr>
          <w:ilvl w:val="0"/>
          <w:numId w:val="23"/>
        </w:numPr>
        <w:jc w:val="both"/>
        <w:rPr>
          <w:rFonts w:ascii="Calibri" w:hAnsi="Calibri"/>
          <w:sz w:val="22"/>
          <w:szCs w:val="22"/>
          <w:lang w:val="es-CO" w:eastAsia="es-CO"/>
        </w:rPr>
      </w:pPr>
      <w:r w:rsidRPr="00F534F0">
        <w:rPr>
          <w:rFonts w:ascii="Calibri" w:hAnsi="Calibri"/>
          <w:sz w:val="22"/>
          <w:szCs w:val="22"/>
          <w:lang w:val="es-CO" w:eastAsia="es-CO"/>
        </w:rPr>
        <w:t>Resolución 564 de 2015: Por medio de la cual se modifica el Manual de Procedimiento del Régimen de Contabilidad Pública incorporando, en el Catálogo General de Cuentas, subcuentas en los pasivos, ingresos y gastos, para el registro de algunas operaciones originadas en la administración del Sistema de Seguridad Social en Salud.</w:t>
      </w:r>
    </w:p>
    <w:p w:rsidR="00D6244C" w:rsidRPr="00F534F0" w:rsidRDefault="00D6244C" w:rsidP="00B7637B">
      <w:pPr>
        <w:jc w:val="both"/>
        <w:rPr>
          <w:rFonts w:ascii="Calibri" w:hAnsi="Calibri"/>
          <w:sz w:val="22"/>
          <w:szCs w:val="22"/>
          <w:lang w:val="es-CO" w:eastAsia="es-CO"/>
        </w:rPr>
      </w:pPr>
    </w:p>
    <w:p w:rsidR="00397BFB" w:rsidRPr="00F534F0" w:rsidRDefault="00397BFB" w:rsidP="00397BFB">
      <w:pPr>
        <w:jc w:val="both"/>
        <w:rPr>
          <w:rFonts w:ascii="Calibri" w:hAnsi="Calibri"/>
          <w:sz w:val="22"/>
          <w:szCs w:val="22"/>
          <w:lang w:val="es-CO" w:eastAsia="es-CO"/>
        </w:rPr>
      </w:pPr>
    </w:p>
    <w:p w:rsidR="00397BFB" w:rsidRPr="00F534F0" w:rsidRDefault="00397BFB" w:rsidP="00397BFB">
      <w:pPr>
        <w:jc w:val="both"/>
        <w:rPr>
          <w:rFonts w:ascii="Calibri" w:hAnsi="Calibri"/>
          <w:sz w:val="22"/>
          <w:szCs w:val="22"/>
          <w:lang w:val="es-CO" w:eastAsia="es-CO"/>
        </w:rPr>
      </w:pPr>
      <w:r w:rsidRPr="00796B04">
        <w:rPr>
          <w:rFonts w:ascii="Arial" w:hAnsi="Arial" w:cs="Arial"/>
          <w:b/>
          <w:sz w:val="33"/>
          <w:szCs w:val="3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HOMOLOGACIÓN</w:t>
      </w:r>
    </w:p>
    <w:p w:rsidR="00397BFB" w:rsidRPr="00F534F0" w:rsidRDefault="00397BFB" w:rsidP="00397BFB">
      <w:pPr>
        <w:jc w:val="both"/>
        <w:rPr>
          <w:rFonts w:ascii="Calibri" w:hAnsi="Calibri"/>
          <w:sz w:val="22"/>
          <w:szCs w:val="22"/>
          <w:lang w:val="es-CO" w:eastAsia="es-CO"/>
        </w:rPr>
      </w:pPr>
    </w:p>
    <w:p w:rsidR="00397BFB" w:rsidRPr="00F534F0" w:rsidRDefault="000822C3" w:rsidP="00C318E3">
      <w:pPr>
        <w:jc w:val="both"/>
        <w:rPr>
          <w:rFonts w:ascii="Calibri" w:hAnsi="Calibri"/>
          <w:sz w:val="22"/>
          <w:szCs w:val="22"/>
          <w:lang w:val="es-CO" w:eastAsia="es-CO"/>
        </w:rPr>
      </w:pPr>
      <w:r w:rsidRPr="00F534F0">
        <w:rPr>
          <w:rFonts w:ascii="Calibri" w:hAnsi="Calibri"/>
          <w:sz w:val="22"/>
          <w:szCs w:val="22"/>
          <w:lang w:val="es-CO" w:eastAsia="es-CO"/>
        </w:rPr>
        <w:t>Con base en l</w:t>
      </w:r>
      <w:r w:rsidR="00B7637B" w:rsidRPr="00F534F0">
        <w:rPr>
          <w:rFonts w:ascii="Calibri" w:hAnsi="Calibri"/>
          <w:sz w:val="22"/>
          <w:szCs w:val="22"/>
          <w:lang w:val="es-CO" w:eastAsia="es-CO"/>
        </w:rPr>
        <w:t>os</w:t>
      </w:r>
      <w:r w:rsidRPr="00F534F0">
        <w:rPr>
          <w:rFonts w:ascii="Calibri" w:hAnsi="Calibri"/>
          <w:sz w:val="22"/>
          <w:szCs w:val="22"/>
          <w:lang w:val="es-CO" w:eastAsia="es-CO"/>
        </w:rPr>
        <w:t xml:space="preserve"> </w:t>
      </w:r>
      <w:r w:rsidR="00B7637B" w:rsidRPr="00F534F0">
        <w:rPr>
          <w:rFonts w:ascii="Calibri" w:hAnsi="Calibri"/>
          <w:sz w:val="22"/>
          <w:szCs w:val="22"/>
          <w:lang w:val="es-CO" w:eastAsia="es-CO"/>
        </w:rPr>
        <w:t xml:space="preserve">actos administrativos que se enumeraron </w:t>
      </w:r>
      <w:r w:rsidRPr="00F534F0">
        <w:rPr>
          <w:rFonts w:ascii="Calibri" w:hAnsi="Calibri"/>
          <w:sz w:val="22"/>
          <w:szCs w:val="22"/>
          <w:lang w:val="es-CO" w:eastAsia="es-CO"/>
        </w:rPr>
        <w:t xml:space="preserve">anteriormente, </w:t>
      </w:r>
      <w:r w:rsidR="00B7637B" w:rsidRPr="00F534F0">
        <w:rPr>
          <w:rFonts w:ascii="Calibri" w:hAnsi="Calibri"/>
          <w:sz w:val="22"/>
          <w:szCs w:val="22"/>
          <w:lang w:val="es-CO" w:eastAsia="es-CO"/>
        </w:rPr>
        <w:t xml:space="preserve">en </w:t>
      </w:r>
      <w:r w:rsidRPr="00F534F0">
        <w:rPr>
          <w:rFonts w:ascii="Calibri" w:hAnsi="Calibri"/>
          <w:sz w:val="22"/>
          <w:szCs w:val="22"/>
          <w:lang w:val="es-CO" w:eastAsia="es-CO"/>
        </w:rPr>
        <w:t>la</w:t>
      </w:r>
      <w:r w:rsidR="00B7637B" w:rsidRPr="00F534F0">
        <w:rPr>
          <w:rFonts w:ascii="Calibri" w:hAnsi="Calibri"/>
          <w:sz w:val="22"/>
          <w:szCs w:val="22"/>
          <w:lang w:val="es-CO" w:eastAsia="es-CO"/>
        </w:rPr>
        <w:t>s S</w:t>
      </w:r>
      <w:r w:rsidRPr="00F534F0">
        <w:rPr>
          <w:rFonts w:ascii="Calibri" w:hAnsi="Calibri"/>
          <w:sz w:val="22"/>
          <w:szCs w:val="22"/>
          <w:lang w:val="es-CO" w:eastAsia="es-CO"/>
        </w:rPr>
        <w:t>erie</w:t>
      </w:r>
      <w:r w:rsidR="00B7637B" w:rsidRPr="00F534F0">
        <w:rPr>
          <w:rFonts w:ascii="Calibri" w:hAnsi="Calibri"/>
          <w:sz w:val="22"/>
          <w:szCs w:val="22"/>
          <w:lang w:val="es-CO" w:eastAsia="es-CO"/>
        </w:rPr>
        <w:t>s</w:t>
      </w:r>
      <w:r w:rsidRPr="00F534F0">
        <w:rPr>
          <w:rFonts w:ascii="Calibri" w:hAnsi="Calibri"/>
          <w:sz w:val="22"/>
          <w:szCs w:val="22"/>
          <w:lang w:val="es-CO" w:eastAsia="es-CO"/>
        </w:rPr>
        <w:t xml:space="preserve"> </w:t>
      </w:r>
      <w:r w:rsidR="00B7637B" w:rsidRPr="00F534F0">
        <w:rPr>
          <w:rFonts w:ascii="Calibri" w:hAnsi="Calibri"/>
          <w:sz w:val="22"/>
          <w:szCs w:val="22"/>
          <w:lang w:val="es-CO" w:eastAsia="es-CO"/>
        </w:rPr>
        <w:t>Históricas</w:t>
      </w:r>
      <w:r w:rsidRPr="00F534F0">
        <w:rPr>
          <w:rFonts w:ascii="Calibri" w:hAnsi="Calibri"/>
          <w:sz w:val="22"/>
          <w:szCs w:val="22"/>
          <w:lang w:val="es-CO" w:eastAsia="es-CO"/>
        </w:rPr>
        <w:t xml:space="preserve"> elaborada</w:t>
      </w:r>
      <w:r w:rsidR="00B7637B" w:rsidRPr="00F534F0">
        <w:rPr>
          <w:rFonts w:ascii="Calibri" w:hAnsi="Calibri"/>
          <w:sz w:val="22"/>
          <w:szCs w:val="22"/>
          <w:lang w:val="es-CO" w:eastAsia="es-CO"/>
        </w:rPr>
        <w:t>s</w:t>
      </w:r>
      <w:r w:rsidRPr="00F534F0">
        <w:rPr>
          <w:rFonts w:ascii="Calibri" w:hAnsi="Calibri"/>
          <w:sz w:val="22"/>
          <w:szCs w:val="22"/>
          <w:lang w:val="es-CO" w:eastAsia="es-CO"/>
        </w:rPr>
        <w:t xml:space="preserve"> para </w:t>
      </w:r>
      <w:r w:rsidR="00B7637B" w:rsidRPr="00F534F0">
        <w:rPr>
          <w:rFonts w:ascii="Calibri" w:hAnsi="Calibri"/>
          <w:sz w:val="22"/>
          <w:szCs w:val="22"/>
          <w:lang w:val="es-CO" w:eastAsia="es-CO"/>
        </w:rPr>
        <w:t xml:space="preserve">el periodo </w:t>
      </w:r>
      <w:r w:rsidRPr="00F534F0">
        <w:rPr>
          <w:rFonts w:ascii="Calibri" w:hAnsi="Calibri"/>
          <w:sz w:val="22"/>
          <w:szCs w:val="22"/>
          <w:lang w:val="es-CO" w:eastAsia="es-CO"/>
        </w:rPr>
        <w:t>2007 a 201</w:t>
      </w:r>
      <w:r w:rsidR="00987288" w:rsidRPr="00F534F0">
        <w:rPr>
          <w:rFonts w:ascii="Calibri" w:hAnsi="Calibri"/>
          <w:sz w:val="22"/>
          <w:szCs w:val="22"/>
          <w:lang w:val="es-CO" w:eastAsia="es-CO"/>
        </w:rPr>
        <w:t>5</w:t>
      </w:r>
      <w:r w:rsidRPr="00F534F0">
        <w:rPr>
          <w:rFonts w:ascii="Calibri" w:hAnsi="Calibri"/>
          <w:sz w:val="22"/>
          <w:szCs w:val="22"/>
          <w:lang w:val="es-CO" w:eastAsia="es-CO"/>
        </w:rPr>
        <w:t xml:space="preserve"> se </w:t>
      </w:r>
      <w:r w:rsidR="00B7637B" w:rsidRPr="00F534F0">
        <w:rPr>
          <w:rFonts w:ascii="Calibri" w:hAnsi="Calibri"/>
          <w:sz w:val="22"/>
          <w:szCs w:val="22"/>
          <w:lang w:val="es-CO" w:eastAsia="es-CO"/>
        </w:rPr>
        <w:t>reconocen</w:t>
      </w:r>
      <w:r w:rsidRPr="00F534F0">
        <w:rPr>
          <w:rFonts w:ascii="Calibri" w:hAnsi="Calibri"/>
          <w:sz w:val="22"/>
          <w:szCs w:val="22"/>
          <w:lang w:val="es-CO" w:eastAsia="es-CO"/>
        </w:rPr>
        <w:t xml:space="preserve"> los siguientes cambios a nivel de grupos de cuentas</w:t>
      </w:r>
      <w:r w:rsidR="00D6244C" w:rsidRPr="00F534F0">
        <w:rPr>
          <w:rFonts w:ascii="Calibri" w:hAnsi="Calibri"/>
          <w:sz w:val="22"/>
          <w:szCs w:val="22"/>
          <w:lang w:val="es-CO" w:eastAsia="es-CO"/>
        </w:rPr>
        <w:t>.</w:t>
      </w:r>
    </w:p>
    <w:p w:rsidR="00137A1B" w:rsidRPr="00F534F0" w:rsidRDefault="00137A1B" w:rsidP="00C318E3">
      <w:pPr>
        <w:jc w:val="both"/>
        <w:rPr>
          <w:rFonts w:ascii="Calibri" w:hAnsi="Calibri"/>
          <w:sz w:val="22"/>
          <w:szCs w:val="22"/>
          <w:lang w:val="es-CO" w:eastAsia="es-CO"/>
        </w:rPr>
      </w:pPr>
    </w:p>
    <w:p w:rsidR="00464870" w:rsidRPr="00F534F0" w:rsidRDefault="00464870" w:rsidP="00464870">
      <w:pPr>
        <w:jc w:val="both"/>
        <w:rPr>
          <w:rFonts w:ascii="Calibri" w:hAnsi="Calibri"/>
          <w:b/>
          <w:sz w:val="28"/>
          <w:szCs w:val="28"/>
          <w:lang w:val="es-CO" w:eastAsia="es-CO"/>
        </w:rPr>
      </w:pPr>
      <w:r w:rsidRPr="00F534F0">
        <w:rPr>
          <w:rFonts w:ascii="Calibri" w:hAnsi="Calibri"/>
          <w:b/>
          <w:sz w:val="28"/>
          <w:szCs w:val="28"/>
          <w:lang w:val="es-CO" w:eastAsia="es-CO"/>
        </w:rPr>
        <w:t>Clase 1</w:t>
      </w:r>
      <w:r w:rsidR="00B7637B" w:rsidRPr="00F534F0">
        <w:rPr>
          <w:rFonts w:ascii="Calibri" w:hAnsi="Calibri"/>
          <w:b/>
          <w:sz w:val="28"/>
          <w:szCs w:val="28"/>
          <w:lang w:val="es-CO" w:eastAsia="es-CO"/>
        </w:rPr>
        <w:t>:</w:t>
      </w:r>
      <w:r w:rsidRPr="00F534F0">
        <w:rPr>
          <w:rFonts w:ascii="Calibri" w:hAnsi="Calibri"/>
          <w:b/>
          <w:sz w:val="28"/>
          <w:szCs w:val="28"/>
          <w:lang w:val="es-CO" w:eastAsia="es-CO"/>
        </w:rPr>
        <w:t xml:space="preserve"> Activo</w:t>
      </w:r>
    </w:p>
    <w:p w:rsidR="00C318E3" w:rsidRPr="00F534F0" w:rsidRDefault="00C318E3" w:rsidP="00C318E3">
      <w:pPr>
        <w:jc w:val="both"/>
        <w:rPr>
          <w:rFonts w:ascii="Calibri" w:hAnsi="Calibri"/>
          <w:sz w:val="22"/>
          <w:szCs w:val="22"/>
          <w:lang w:val="es-CO" w:eastAsia="es-CO"/>
        </w:rPr>
      </w:pPr>
    </w:p>
    <w:p w:rsidR="00C318E3" w:rsidRPr="00F534F0" w:rsidRDefault="00464870" w:rsidP="00C318E3">
      <w:pPr>
        <w:numPr>
          <w:ilvl w:val="0"/>
          <w:numId w:val="24"/>
        </w:numPr>
        <w:jc w:val="both"/>
        <w:rPr>
          <w:rFonts w:ascii="Calibri" w:hAnsi="Calibri"/>
          <w:sz w:val="22"/>
          <w:szCs w:val="22"/>
          <w:lang w:val="es-CO" w:eastAsia="es-CO"/>
        </w:rPr>
      </w:pPr>
      <w:r w:rsidRPr="00F534F0">
        <w:rPr>
          <w:rFonts w:ascii="Calibri" w:hAnsi="Calibri"/>
          <w:b/>
          <w:sz w:val="22"/>
          <w:szCs w:val="22"/>
          <w:u w:val="single"/>
          <w:lang w:val="es-CO" w:eastAsia="es-CO"/>
        </w:rPr>
        <w:t>Grupo 11</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Efectivo</w:t>
      </w:r>
      <w:r w:rsidRPr="00F534F0">
        <w:rPr>
          <w:rFonts w:ascii="Calibri" w:hAnsi="Calibri"/>
          <w:sz w:val="22"/>
          <w:szCs w:val="22"/>
          <w:lang w:val="es-CO" w:eastAsia="es-CO"/>
        </w:rPr>
        <w:t xml:space="preserve">: </w:t>
      </w:r>
      <w:r w:rsidR="00BD3F65" w:rsidRPr="00F534F0">
        <w:rPr>
          <w:rFonts w:ascii="Calibri" w:hAnsi="Calibri"/>
          <w:sz w:val="22"/>
          <w:szCs w:val="22"/>
          <w:lang w:val="es-CO" w:eastAsia="es-CO"/>
        </w:rPr>
        <w:t>L</w:t>
      </w:r>
      <w:r w:rsidR="00C318E3" w:rsidRPr="00F534F0">
        <w:rPr>
          <w:rFonts w:ascii="Calibri" w:hAnsi="Calibri"/>
          <w:sz w:val="22"/>
          <w:szCs w:val="22"/>
          <w:lang w:val="es-CO" w:eastAsia="es-CO"/>
        </w:rPr>
        <w:t>os cambios más significativos en este grupo se presentan en</w:t>
      </w:r>
      <w:r w:rsidR="00F9439A" w:rsidRPr="00F534F0">
        <w:rPr>
          <w:rFonts w:ascii="Calibri" w:hAnsi="Calibri"/>
          <w:sz w:val="22"/>
          <w:szCs w:val="22"/>
          <w:lang w:val="es-CO" w:eastAsia="es-CO"/>
        </w:rPr>
        <w:t xml:space="preserve"> la</w:t>
      </w:r>
      <w:r w:rsidR="00C318E3" w:rsidRPr="00F534F0">
        <w:rPr>
          <w:rFonts w:ascii="Calibri" w:hAnsi="Calibri"/>
          <w:sz w:val="22"/>
          <w:szCs w:val="22"/>
          <w:lang w:val="es-CO" w:eastAsia="es-CO"/>
        </w:rPr>
        <w:t xml:space="preserve"> eliminación de cuentas como </w:t>
      </w:r>
      <w:r w:rsidRPr="00F534F0">
        <w:rPr>
          <w:rFonts w:ascii="Calibri" w:hAnsi="Calibri"/>
          <w:sz w:val="22"/>
          <w:szCs w:val="22"/>
          <w:lang w:val="es-CO" w:eastAsia="es-CO"/>
        </w:rPr>
        <w:t xml:space="preserve">la 1109 </w:t>
      </w:r>
      <w:r w:rsidR="00C318E3" w:rsidRPr="00F534F0">
        <w:rPr>
          <w:rFonts w:ascii="Calibri" w:hAnsi="Calibri"/>
          <w:sz w:val="22"/>
          <w:szCs w:val="22"/>
          <w:lang w:val="es-CO" w:eastAsia="es-CO"/>
        </w:rPr>
        <w:t>Depósitos en institu</w:t>
      </w:r>
      <w:r w:rsidRPr="00F534F0">
        <w:rPr>
          <w:rFonts w:ascii="Calibri" w:hAnsi="Calibri"/>
          <w:sz w:val="22"/>
          <w:szCs w:val="22"/>
          <w:lang w:val="es-CO" w:eastAsia="es-CO"/>
        </w:rPr>
        <w:t>to</w:t>
      </w:r>
      <w:r w:rsidR="00C318E3" w:rsidRPr="00F534F0">
        <w:rPr>
          <w:rFonts w:ascii="Calibri" w:hAnsi="Calibri"/>
          <w:sz w:val="22"/>
          <w:szCs w:val="22"/>
          <w:lang w:val="es-CO" w:eastAsia="es-CO"/>
        </w:rPr>
        <w:t>s financier</w:t>
      </w:r>
      <w:r w:rsidRPr="00F534F0">
        <w:rPr>
          <w:rFonts w:ascii="Calibri" w:hAnsi="Calibri"/>
          <w:sz w:val="22"/>
          <w:szCs w:val="22"/>
          <w:lang w:val="es-CO" w:eastAsia="es-CO"/>
        </w:rPr>
        <w:t>o</w:t>
      </w:r>
      <w:r w:rsidR="00C318E3" w:rsidRPr="00F534F0">
        <w:rPr>
          <w:rFonts w:ascii="Calibri" w:hAnsi="Calibri"/>
          <w:sz w:val="22"/>
          <w:szCs w:val="22"/>
          <w:lang w:val="es-CO" w:eastAsia="es-CO"/>
        </w:rPr>
        <w:t>s y cooperativas</w:t>
      </w:r>
      <w:r w:rsidRPr="00F534F0">
        <w:rPr>
          <w:rFonts w:ascii="Calibri" w:hAnsi="Calibri"/>
          <w:sz w:val="22"/>
          <w:szCs w:val="22"/>
          <w:lang w:val="es-CO" w:eastAsia="es-CO"/>
        </w:rPr>
        <w:t xml:space="preserve"> y la 1125</w:t>
      </w:r>
      <w:r w:rsidR="00C318E3" w:rsidRPr="00F534F0">
        <w:rPr>
          <w:rFonts w:ascii="Calibri" w:hAnsi="Calibri"/>
          <w:sz w:val="22"/>
          <w:szCs w:val="22"/>
          <w:lang w:val="es-CO" w:eastAsia="es-CO"/>
        </w:rPr>
        <w:t xml:space="preserve"> Fondos especiales, entre otras.</w:t>
      </w:r>
    </w:p>
    <w:p w:rsidR="00C318E3" w:rsidRPr="00F534F0" w:rsidRDefault="00464870" w:rsidP="00C318E3">
      <w:pPr>
        <w:numPr>
          <w:ilvl w:val="0"/>
          <w:numId w:val="24"/>
        </w:numPr>
        <w:jc w:val="both"/>
        <w:rPr>
          <w:rFonts w:ascii="Calibri" w:hAnsi="Calibri"/>
          <w:sz w:val="22"/>
          <w:szCs w:val="22"/>
          <w:lang w:val="es-CO" w:eastAsia="es-CO"/>
        </w:rPr>
      </w:pPr>
      <w:r w:rsidRPr="00F534F0">
        <w:rPr>
          <w:rFonts w:ascii="Calibri" w:hAnsi="Calibri"/>
          <w:b/>
          <w:sz w:val="22"/>
          <w:szCs w:val="22"/>
          <w:u w:val="single"/>
          <w:lang w:val="es-CO" w:eastAsia="es-CO"/>
        </w:rPr>
        <w:t>Grupo 12</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Inversiones</w:t>
      </w:r>
      <w:r w:rsidRPr="00F534F0">
        <w:rPr>
          <w:rFonts w:ascii="Calibri" w:hAnsi="Calibri"/>
          <w:sz w:val="22"/>
          <w:szCs w:val="22"/>
          <w:lang w:val="es-CO" w:eastAsia="es-CO"/>
        </w:rPr>
        <w:t>:</w:t>
      </w:r>
      <w:r w:rsidR="00894A56" w:rsidRPr="00F534F0">
        <w:rPr>
          <w:rFonts w:ascii="Calibri" w:hAnsi="Calibri"/>
          <w:sz w:val="22"/>
          <w:szCs w:val="22"/>
          <w:lang w:val="es-CO" w:eastAsia="es-CO"/>
        </w:rPr>
        <w:t xml:space="preserve"> P</w:t>
      </w:r>
      <w:r w:rsidR="00C318E3" w:rsidRPr="00F534F0">
        <w:rPr>
          <w:rFonts w:ascii="Calibri" w:hAnsi="Calibri"/>
          <w:sz w:val="22"/>
          <w:szCs w:val="22"/>
          <w:lang w:val="es-CO" w:eastAsia="es-CO"/>
        </w:rPr>
        <w:t xml:space="preserve">ara el </w:t>
      </w:r>
      <w:r w:rsidR="00894A56" w:rsidRPr="00F534F0">
        <w:rPr>
          <w:rFonts w:ascii="Calibri" w:hAnsi="Calibri"/>
          <w:sz w:val="22"/>
          <w:szCs w:val="22"/>
          <w:lang w:val="es-CO" w:eastAsia="es-CO"/>
        </w:rPr>
        <w:t xml:space="preserve">año </w:t>
      </w:r>
      <w:r w:rsidR="00C318E3" w:rsidRPr="00F534F0">
        <w:rPr>
          <w:rFonts w:ascii="Calibri" w:hAnsi="Calibri"/>
          <w:sz w:val="22"/>
          <w:szCs w:val="22"/>
          <w:lang w:val="es-CO" w:eastAsia="es-CO"/>
        </w:rPr>
        <w:t xml:space="preserve">2007, este grupo sufre una modificación sustancial, por lo cual su homologación para la elaboración de las Series Históricas es compleja pues las subcuentas pueden obedecer a varios conceptos a la vez. Asimismo, se eliminan, se reclasifican y se crean diferentes cuentas. </w:t>
      </w:r>
      <w:r w:rsidR="00D771C5" w:rsidRPr="00F534F0">
        <w:rPr>
          <w:rFonts w:ascii="Calibri" w:hAnsi="Calibri"/>
          <w:sz w:val="22"/>
          <w:szCs w:val="22"/>
          <w:lang w:val="es-CO" w:eastAsia="es-CO"/>
        </w:rPr>
        <w:t>C</w:t>
      </w:r>
      <w:r w:rsidR="00C318E3" w:rsidRPr="00F534F0">
        <w:rPr>
          <w:rFonts w:ascii="Calibri" w:hAnsi="Calibri"/>
          <w:sz w:val="22"/>
          <w:szCs w:val="22"/>
          <w:lang w:val="es-CO" w:eastAsia="es-CO"/>
        </w:rPr>
        <w:t>omo lo explica la normatividad al respecto, las inversiones se revelan teniendo en cuenta la finalidad con la cual se efectúan y la modalidad de título o contrato que se utiliza, por</w:t>
      </w:r>
      <w:r w:rsidR="00D771C5" w:rsidRPr="00F534F0">
        <w:rPr>
          <w:rFonts w:ascii="Calibri" w:hAnsi="Calibri"/>
          <w:sz w:val="22"/>
          <w:szCs w:val="22"/>
          <w:lang w:val="es-CO" w:eastAsia="es-CO"/>
        </w:rPr>
        <w:t xml:space="preserve"> lo</w:t>
      </w:r>
      <w:r w:rsidR="00C318E3" w:rsidRPr="00F534F0">
        <w:rPr>
          <w:rFonts w:ascii="Calibri" w:hAnsi="Calibri"/>
          <w:sz w:val="22"/>
          <w:szCs w:val="22"/>
          <w:lang w:val="es-CO" w:eastAsia="es-CO"/>
        </w:rPr>
        <w:t xml:space="preserve"> tanto en este grupo de cuentas se revelan los conceptos en Títulos de deuda y Títulos participativos, por lo que en este periodo se realizan todas las modificaciones encaminadas a organizar el CGC.</w:t>
      </w:r>
    </w:p>
    <w:p w:rsidR="00C318E3" w:rsidRPr="00F534F0" w:rsidRDefault="00C318E3" w:rsidP="00C318E3">
      <w:pPr>
        <w:jc w:val="both"/>
        <w:rPr>
          <w:rFonts w:ascii="Calibri" w:hAnsi="Calibri"/>
          <w:sz w:val="22"/>
          <w:szCs w:val="22"/>
          <w:lang w:val="es-CO" w:eastAsia="es-CO"/>
        </w:rPr>
      </w:pPr>
    </w:p>
    <w:p w:rsidR="00C318E3" w:rsidRPr="00F534F0" w:rsidRDefault="00464870" w:rsidP="00C318E3">
      <w:pPr>
        <w:numPr>
          <w:ilvl w:val="0"/>
          <w:numId w:val="24"/>
        </w:numPr>
        <w:jc w:val="both"/>
        <w:rPr>
          <w:rFonts w:ascii="Calibri" w:hAnsi="Calibri"/>
          <w:sz w:val="22"/>
          <w:szCs w:val="22"/>
          <w:lang w:val="es-CO" w:eastAsia="es-CO"/>
        </w:rPr>
      </w:pPr>
      <w:r w:rsidRPr="00F534F0">
        <w:rPr>
          <w:rFonts w:ascii="Calibri" w:hAnsi="Calibri"/>
          <w:b/>
          <w:sz w:val="22"/>
          <w:szCs w:val="22"/>
          <w:u w:val="single"/>
          <w:lang w:val="es-CO" w:eastAsia="es-CO"/>
        </w:rPr>
        <w:t>Grupo 13</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Rentas por cobrar</w:t>
      </w:r>
      <w:r w:rsidRPr="00F534F0">
        <w:rPr>
          <w:rFonts w:ascii="Calibri" w:hAnsi="Calibri"/>
          <w:sz w:val="22"/>
          <w:szCs w:val="22"/>
          <w:lang w:val="es-CO" w:eastAsia="es-CO"/>
        </w:rPr>
        <w:t>:</w:t>
      </w:r>
      <w:r w:rsidR="00C318E3" w:rsidRPr="00F534F0">
        <w:rPr>
          <w:rFonts w:ascii="Calibri" w:hAnsi="Calibri"/>
          <w:sz w:val="22"/>
          <w:szCs w:val="22"/>
          <w:lang w:val="es-CO" w:eastAsia="es-CO"/>
        </w:rPr>
        <w:t xml:space="preserve"> </w:t>
      </w:r>
      <w:r w:rsidR="00894A56" w:rsidRPr="00F534F0">
        <w:rPr>
          <w:rFonts w:ascii="Calibri" w:hAnsi="Calibri"/>
          <w:sz w:val="22"/>
          <w:szCs w:val="22"/>
          <w:lang w:val="es-CO" w:eastAsia="es-CO"/>
        </w:rPr>
        <w:t>E</w:t>
      </w:r>
      <w:r w:rsidRPr="00F534F0">
        <w:rPr>
          <w:rFonts w:ascii="Calibri" w:hAnsi="Calibri"/>
          <w:sz w:val="22"/>
          <w:szCs w:val="22"/>
          <w:lang w:val="es-CO" w:eastAsia="es-CO"/>
        </w:rPr>
        <w:t xml:space="preserve">n </w:t>
      </w:r>
      <w:r w:rsidR="00C318E3" w:rsidRPr="00F534F0">
        <w:rPr>
          <w:rFonts w:ascii="Calibri" w:hAnsi="Calibri"/>
          <w:sz w:val="22"/>
          <w:szCs w:val="22"/>
          <w:lang w:val="es-CO" w:eastAsia="es-CO"/>
        </w:rPr>
        <w:t xml:space="preserve">el </w:t>
      </w:r>
      <w:r w:rsidR="00894A56" w:rsidRPr="00F534F0">
        <w:rPr>
          <w:rFonts w:ascii="Calibri" w:hAnsi="Calibri"/>
          <w:sz w:val="22"/>
          <w:szCs w:val="22"/>
          <w:lang w:val="es-CO" w:eastAsia="es-CO"/>
        </w:rPr>
        <w:t xml:space="preserve">año </w:t>
      </w:r>
      <w:r w:rsidR="00C318E3" w:rsidRPr="00F534F0">
        <w:rPr>
          <w:rFonts w:ascii="Calibri" w:hAnsi="Calibri"/>
          <w:sz w:val="22"/>
          <w:szCs w:val="22"/>
          <w:lang w:val="es-CO" w:eastAsia="es-CO"/>
        </w:rPr>
        <w:t xml:space="preserve">2007 se elimina la cuenta </w:t>
      </w:r>
      <w:r w:rsidRPr="00F534F0">
        <w:rPr>
          <w:rFonts w:ascii="Calibri" w:hAnsi="Calibri"/>
          <w:sz w:val="22"/>
          <w:szCs w:val="22"/>
          <w:lang w:val="es-CO" w:eastAsia="es-CO"/>
        </w:rPr>
        <w:t>1315 D</w:t>
      </w:r>
      <w:r w:rsidR="00C318E3" w:rsidRPr="00F534F0">
        <w:rPr>
          <w:rFonts w:ascii="Calibri" w:hAnsi="Calibri"/>
          <w:sz w:val="22"/>
          <w:szCs w:val="22"/>
          <w:lang w:val="es-CO" w:eastAsia="es-CO"/>
        </w:rPr>
        <w:t>ifícil recaudo y se reclasifican varios conceptos de</w:t>
      </w:r>
      <w:r w:rsidRPr="00F534F0">
        <w:rPr>
          <w:rFonts w:ascii="Calibri" w:hAnsi="Calibri"/>
          <w:sz w:val="22"/>
          <w:szCs w:val="22"/>
          <w:lang w:val="es-CO" w:eastAsia="es-CO"/>
        </w:rPr>
        <w:t xml:space="preserve"> este </w:t>
      </w:r>
      <w:r w:rsidR="00C318E3" w:rsidRPr="00F534F0">
        <w:rPr>
          <w:rFonts w:ascii="Calibri" w:hAnsi="Calibri"/>
          <w:sz w:val="22"/>
          <w:szCs w:val="22"/>
          <w:lang w:val="es-CO" w:eastAsia="es-CO"/>
        </w:rPr>
        <w:t>grupo al grupo</w:t>
      </w:r>
      <w:r w:rsidRPr="00F534F0">
        <w:rPr>
          <w:rFonts w:ascii="Calibri" w:hAnsi="Calibri"/>
          <w:sz w:val="22"/>
          <w:szCs w:val="22"/>
          <w:lang w:val="es-CO" w:eastAsia="es-CO"/>
        </w:rPr>
        <w:t xml:space="preserve"> 14</w:t>
      </w:r>
      <w:r w:rsidR="00C318E3" w:rsidRPr="00F534F0">
        <w:rPr>
          <w:rFonts w:ascii="Calibri" w:hAnsi="Calibri"/>
          <w:sz w:val="22"/>
          <w:szCs w:val="22"/>
          <w:lang w:val="es-CO" w:eastAsia="es-CO"/>
        </w:rPr>
        <w:t xml:space="preserve"> Deudores</w:t>
      </w:r>
      <w:r w:rsidRPr="00F534F0">
        <w:rPr>
          <w:rFonts w:ascii="Calibri" w:hAnsi="Calibri"/>
          <w:sz w:val="22"/>
          <w:szCs w:val="22"/>
          <w:lang w:val="es-CO" w:eastAsia="es-CO"/>
        </w:rPr>
        <w:t>,</w:t>
      </w:r>
      <w:r w:rsidR="00C318E3" w:rsidRPr="00F534F0">
        <w:rPr>
          <w:rFonts w:ascii="Calibri" w:hAnsi="Calibri"/>
          <w:sz w:val="22"/>
          <w:szCs w:val="22"/>
          <w:lang w:val="es-CO" w:eastAsia="es-CO"/>
        </w:rPr>
        <w:t xml:space="preserve"> se eliminan las provisiones de este grupo atendiendo la norma técnica sobre Rentas por cobrar, las cuales se </w:t>
      </w:r>
      <w:r w:rsidR="00894A56" w:rsidRPr="00F534F0">
        <w:rPr>
          <w:rFonts w:ascii="Calibri" w:hAnsi="Calibri"/>
          <w:sz w:val="22"/>
          <w:szCs w:val="22"/>
          <w:lang w:val="es-CO" w:eastAsia="es-CO"/>
        </w:rPr>
        <w:t>reconocen</w:t>
      </w:r>
      <w:r w:rsidR="00C318E3" w:rsidRPr="00F534F0">
        <w:rPr>
          <w:rFonts w:ascii="Calibri" w:hAnsi="Calibri"/>
          <w:sz w:val="22"/>
          <w:szCs w:val="22"/>
          <w:lang w:val="es-CO" w:eastAsia="es-CO"/>
        </w:rPr>
        <w:t xml:space="preserve"> directamente </w:t>
      </w:r>
      <w:r w:rsidR="00894A56" w:rsidRPr="00F534F0">
        <w:rPr>
          <w:rFonts w:ascii="Calibri" w:hAnsi="Calibri"/>
          <w:sz w:val="22"/>
          <w:szCs w:val="22"/>
          <w:lang w:val="es-CO" w:eastAsia="es-CO"/>
        </w:rPr>
        <w:t>en e</w:t>
      </w:r>
      <w:r w:rsidR="00C318E3" w:rsidRPr="00F534F0">
        <w:rPr>
          <w:rFonts w:ascii="Calibri" w:hAnsi="Calibri"/>
          <w:sz w:val="22"/>
          <w:szCs w:val="22"/>
          <w:lang w:val="es-CO" w:eastAsia="es-CO"/>
        </w:rPr>
        <w:t>l Patrimonio.</w:t>
      </w:r>
      <w:r w:rsidR="00EF58B6" w:rsidRPr="00F534F0">
        <w:rPr>
          <w:rFonts w:ascii="Calibri" w:hAnsi="Calibri"/>
          <w:sz w:val="22"/>
          <w:szCs w:val="22"/>
          <w:lang w:val="es-CO" w:eastAsia="es-CO"/>
        </w:rPr>
        <w:t xml:space="preserve"> En el año 2013 se crean las subcuentas que </w:t>
      </w:r>
      <w:r w:rsidR="00DD4FE7" w:rsidRPr="00F534F0">
        <w:rPr>
          <w:rFonts w:ascii="Calibri" w:hAnsi="Calibri"/>
          <w:sz w:val="22"/>
          <w:szCs w:val="22"/>
          <w:lang w:val="es-CO" w:eastAsia="es-CO"/>
        </w:rPr>
        <w:t xml:space="preserve">identifican de manera separada, cada uno de los conceptos de los impuestos creados por la Ley 1607 de 2012 (CREE, Impuesto Nacional al Consumo e Impuesto Nacional a la Gasolina y al ACPM) así: 130563 Impuesto sobre la Renta para la Equidad (CREE), 130564 Impuesto nacional al consumo, 130565 Impuesto Nacional a la Gasolina y al ACPM, 131052 Gravamen a los movimientos financieros, 131063 Impuesto sobre la Renta para la Equidad (CREE), 131064 </w:t>
      </w:r>
      <w:r w:rsidR="00514F62" w:rsidRPr="00F534F0">
        <w:rPr>
          <w:rFonts w:ascii="Calibri" w:hAnsi="Calibri"/>
          <w:sz w:val="22"/>
          <w:szCs w:val="22"/>
          <w:lang w:val="es-CO" w:eastAsia="es-CO"/>
        </w:rPr>
        <w:t>Impuesto nacional al consumo</w:t>
      </w:r>
      <w:r w:rsidR="00DD4FE7" w:rsidRPr="00F534F0">
        <w:rPr>
          <w:rFonts w:ascii="Calibri" w:hAnsi="Calibri"/>
          <w:sz w:val="22"/>
          <w:szCs w:val="22"/>
          <w:lang w:val="es-CO" w:eastAsia="es-CO"/>
        </w:rPr>
        <w:t xml:space="preserve">, 131065 </w:t>
      </w:r>
      <w:r w:rsidR="00514F62" w:rsidRPr="00F534F0">
        <w:rPr>
          <w:rFonts w:ascii="Calibri" w:hAnsi="Calibri"/>
          <w:sz w:val="22"/>
          <w:szCs w:val="22"/>
          <w:lang w:val="es-CO" w:eastAsia="es-CO"/>
        </w:rPr>
        <w:t>Impuesto Nacional a la Gasolina y al ACPM.</w:t>
      </w:r>
      <w:r w:rsidR="005D231A" w:rsidRPr="00F534F0">
        <w:rPr>
          <w:rFonts w:ascii="Calibri" w:hAnsi="Calibri"/>
          <w:sz w:val="22"/>
          <w:szCs w:val="22"/>
          <w:lang w:val="es-CO" w:eastAsia="es-CO"/>
        </w:rPr>
        <w:t xml:space="preserve"> En el mismo año,</w:t>
      </w:r>
      <w:r w:rsidR="003D2AE3" w:rsidRPr="00F534F0">
        <w:rPr>
          <w:rFonts w:ascii="Calibri" w:hAnsi="Calibri"/>
          <w:sz w:val="22"/>
          <w:szCs w:val="22"/>
          <w:lang w:val="es-CO" w:eastAsia="es-CO"/>
        </w:rPr>
        <w:t xml:space="preserve"> se crean las subcuentas: 130566</w:t>
      </w:r>
      <w:r w:rsidR="005D231A" w:rsidRPr="00F534F0">
        <w:rPr>
          <w:rFonts w:ascii="Calibri" w:hAnsi="Calibri"/>
          <w:sz w:val="22"/>
          <w:szCs w:val="22"/>
          <w:lang w:val="es-CO" w:eastAsia="es-CO"/>
        </w:rPr>
        <w:t xml:space="preserve"> Retención </w:t>
      </w:r>
      <w:r w:rsidR="003D2AE3" w:rsidRPr="00F534F0">
        <w:rPr>
          <w:rFonts w:ascii="Calibri" w:hAnsi="Calibri"/>
          <w:sz w:val="22"/>
          <w:szCs w:val="22"/>
          <w:lang w:val="es-CO" w:eastAsia="es-CO"/>
        </w:rPr>
        <w:t>del Impuesto sobre la Renta para la Equidad-CREE y 131060 Retención del Impuesto sobre la Renta para la Equidad-CREE.</w:t>
      </w:r>
      <w:r w:rsidR="00497ED1" w:rsidRPr="00F534F0">
        <w:rPr>
          <w:rFonts w:ascii="Calibri" w:hAnsi="Calibri"/>
          <w:sz w:val="22"/>
          <w:szCs w:val="22"/>
          <w:lang w:val="es-CO" w:eastAsia="es-CO"/>
        </w:rPr>
        <w:t xml:space="preserve"> En el año 2015 se crean la siguientes subcuentas: 130567 Impuesto a la riqueza, 130568 Impuesto complementario de normalización tributaria al impuesto a la riqueza, 130569 Sobretasa al impuesto sobre la renta para la equidad CREE, 131067 Impuesto a la riqueza, 131068 Impuesto complementario de normalización tributaria al impuesto a la riqueza, 131069 Sobretasa al impuesto sobre la renta para la equidad CREE</w:t>
      </w:r>
      <w:r w:rsidR="000579B5" w:rsidRPr="00F534F0">
        <w:rPr>
          <w:rFonts w:ascii="Calibri" w:hAnsi="Calibri"/>
          <w:sz w:val="22"/>
          <w:szCs w:val="22"/>
          <w:lang w:val="es-CO" w:eastAsia="es-CO"/>
        </w:rPr>
        <w:t>.</w:t>
      </w:r>
    </w:p>
    <w:p w:rsidR="00894A56" w:rsidRPr="00F534F0" w:rsidRDefault="00894A56" w:rsidP="00894A56">
      <w:pPr>
        <w:jc w:val="both"/>
        <w:rPr>
          <w:rFonts w:ascii="Calibri" w:hAnsi="Calibri"/>
          <w:sz w:val="22"/>
          <w:szCs w:val="22"/>
          <w:lang w:val="es-CO" w:eastAsia="es-CO"/>
        </w:rPr>
      </w:pPr>
    </w:p>
    <w:p w:rsidR="00C318E3" w:rsidRPr="00F534F0" w:rsidRDefault="002D7F3D" w:rsidP="003D2AE3">
      <w:pPr>
        <w:numPr>
          <w:ilvl w:val="0"/>
          <w:numId w:val="24"/>
        </w:numPr>
        <w:jc w:val="both"/>
        <w:rPr>
          <w:rFonts w:ascii="Calibri" w:hAnsi="Calibri"/>
          <w:sz w:val="22"/>
          <w:szCs w:val="22"/>
          <w:lang w:val="es-CO" w:eastAsia="es-CO"/>
        </w:rPr>
      </w:pPr>
      <w:r w:rsidRPr="00F534F0">
        <w:rPr>
          <w:rFonts w:ascii="Calibri" w:hAnsi="Calibri"/>
          <w:b/>
          <w:sz w:val="22"/>
          <w:szCs w:val="22"/>
          <w:u w:val="single"/>
          <w:lang w:val="es-CO" w:eastAsia="es-CO"/>
        </w:rPr>
        <w:t>Grupo 14</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Deudores</w:t>
      </w:r>
      <w:r w:rsidR="00894A56" w:rsidRPr="00F534F0">
        <w:rPr>
          <w:rFonts w:ascii="Calibri" w:hAnsi="Calibri"/>
          <w:sz w:val="22"/>
          <w:szCs w:val="22"/>
          <w:lang w:val="es-CO" w:eastAsia="es-CO"/>
        </w:rPr>
        <w:t xml:space="preserve">: </w:t>
      </w:r>
      <w:r w:rsidR="00F9439A" w:rsidRPr="00F534F0">
        <w:rPr>
          <w:rFonts w:ascii="Calibri" w:hAnsi="Calibri"/>
          <w:sz w:val="22"/>
          <w:szCs w:val="22"/>
          <w:lang w:val="es-CO" w:eastAsia="es-CO"/>
        </w:rPr>
        <w:t>L</w:t>
      </w:r>
      <w:r w:rsidR="00C318E3" w:rsidRPr="00F534F0">
        <w:rPr>
          <w:rFonts w:ascii="Calibri" w:hAnsi="Calibri"/>
          <w:sz w:val="22"/>
          <w:szCs w:val="22"/>
          <w:lang w:val="es-CO" w:eastAsia="es-CO"/>
        </w:rPr>
        <w:t xml:space="preserve">a cuenta </w:t>
      </w:r>
      <w:r w:rsidRPr="00F534F0">
        <w:rPr>
          <w:rFonts w:ascii="Calibri" w:hAnsi="Calibri"/>
          <w:sz w:val="22"/>
          <w:szCs w:val="22"/>
          <w:lang w:val="es-CO" w:eastAsia="es-CO"/>
        </w:rPr>
        <w:t xml:space="preserve">1413 </w:t>
      </w:r>
      <w:r w:rsidR="00C318E3" w:rsidRPr="00F534F0">
        <w:rPr>
          <w:rFonts w:ascii="Calibri" w:hAnsi="Calibri"/>
          <w:sz w:val="22"/>
          <w:szCs w:val="22"/>
          <w:lang w:val="es-CO" w:eastAsia="es-CO"/>
        </w:rPr>
        <w:t>Transferencias por cobrar</w:t>
      </w:r>
      <w:r w:rsidRPr="00F534F0">
        <w:rPr>
          <w:rFonts w:ascii="Calibri" w:hAnsi="Calibri"/>
          <w:sz w:val="22"/>
          <w:szCs w:val="22"/>
          <w:lang w:val="es-CO" w:eastAsia="es-CO"/>
        </w:rPr>
        <w:t xml:space="preserve"> </w:t>
      </w:r>
      <w:r w:rsidR="00C318E3" w:rsidRPr="00F534F0">
        <w:rPr>
          <w:rFonts w:ascii="Calibri" w:hAnsi="Calibri"/>
          <w:sz w:val="22"/>
          <w:szCs w:val="22"/>
          <w:lang w:val="es-CO" w:eastAsia="es-CO"/>
        </w:rPr>
        <w:t xml:space="preserve">a partir del </w:t>
      </w:r>
      <w:r w:rsidR="00894A56" w:rsidRPr="00F534F0">
        <w:rPr>
          <w:rFonts w:ascii="Calibri" w:hAnsi="Calibri"/>
          <w:sz w:val="22"/>
          <w:szCs w:val="22"/>
          <w:lang w:val="es-CO" w:eastAsia="es-CO"/>
        </w:rPr>
        <w:t xml:space="preserve">año </w:t>
      </w:r>
      <w:r w:rsidR="00C318E3" w:rsidRPr="00F534F0">
        <w:rPr>
          <w:rFonts w:ascii="Calibri" w:hAnsi="Calibri"/>
          <w:sz w:val="22"/>
          <w:szCs w:val="22"/>
          <w:lang w:val="es-CO" w:eastAsia="es-CO"/>
        </w:rPr>
        <w:t>2007 unif</w:t>
      </w:r>
      <w:r w:rsidRPr="00F534F0">
        <w:rPr>
          <w:rFonts w:ascii="Calibri" w:hAnsi="Calibri"/>
          <w:sz w:val="22"/>
          <w:szCs w:val="22"/>
          <w:lang w:val="es-CO" w:eastAsia="es-CO"/>
        </w:rPr>
        <w:t>ica sus 11 subcuentas en cuatro subcuentas: 141314 Otras transferencias, 141311 Sistema general de seguridad social en salud, 141312 Sistema general de participaciones y la 147076 Recursos recibidos de las cajas de compensación familiar por actividades de promoción y prevención de la salud, y</w:t>
      </w:r>
      <w:r w:rsidR="00C720ED" w:rsidRPr="00F534F0">
        <w:rPr>
          <w:rFonts w:ascii="Calibri" w:hAnsi="Calibri"/>
          <w:sz w:val="22"/>
          <w:szCs w:val="22"/>
          <w:lang w:val="es-CO" w:eastAsia="es-CO"/>
        </w:rPr>
        <w:t xml:space="preserve"> </w:t>
      </w:r>
      <w:r w:rsidRPr="00F534F0">
        <w:rPr>
          <w:rFonts w:ascii="Calibri" w:hAnsi="Calibri"/>
          <w:sz w:val="22"/>
          <w:szCs w:val="22"/>
          <w:lang w:val="es-CO" w:eastAsia="es-CO"/>
        </w:rPr>
        <w:t>s</w:t>
      </w:r>
      <w:r w:rsidR="00C720ED" w:rsidRPr="00F534F0">
        <w:rPr>
          <w:rFonts w:ascii="Calibri" w:hAnsi="Calibri"/>
          <w:sz w:val="22"/>
          <w:szCs w:val="22"/>
          <w:lang w:val="es-CO" w:eastAsia="es-CO"/>
        </w:rPr>
        <w:t>e crea la subcuenta</w:t>
      </w:r>
      <w:r w:rsidRPr="00F534F0">
        <w:rPr>
          <w:rFonts w:ascii="Calibri" w:hAnsi="Calibri"/>
          <w:sz w:val="22"/>
          <w:szCs w:val="22"/>
          <w:lang w:val="es-CO" w:eastAsia="es-CO"/>
        </w:rPr>
        <w:t xml:space="preserve"> 140172</w:t>
      </w:r>
      <w:r w:rsidR="00C720ED" w:rsidRPr="00F534F0">
        <w:rPr>
          <w:rFonts w:ascii="Calibri" w:hAnsi="Calibri"/>
          <w:sz w:val="22"/>
          <w:szCs w:val="22"/>
          <w:lang w:val="es-CO" w:eastAsia="es-CO"/>
        </w:rPr>
        <w:t xml:space="preserve"> Prima en contratos de </w:t>
      </w:r>
      <w:r w:rsidR="00C720ED" w:rsidRPr="00F534F0">
        <w:rPr>
          <w:rFonts w:ascii="Calibri" w:hAnsi="Calibri"/>
          <w:sz w:val="22"/>
          <w:szCs w:val="22"/>
          <w:lang w:val="es-CO" w:eastAsia="es-CO"/>
        </w:rPr>
        <w:lastRenderedPageBreak/>
        <w:t>estabilidad jurídica.</w:t>
      </w:r>
      <w:r w:rsidR="00514F62" w:rsidRPr="00F534F0">
        <w:rPr>
          <w:rFonts w:ascii="Calibri" w:hAnsi="Calibri"/>
          <w:sz w:val="22"/>
          <w:szCs w:val="22"/>
          <w:lang w:val="es-CO" w:eastAsia="es-CO"/>
        </w:rPr>
        <w:t xml:space="preserve"> En 2013, se crean las cuentas: 142212 Retención de Impuesto sobre la Renta para la Equidad (CREE) y 142213 Anticipo de </w:t>
      </w:r>
      <w:r w:rsidR="00954D24" w:rsidRPr="00F534F0">
        <w:rPr>
          <w:rFonts w:ascii="Calibri" w:hAnsi="Calibri"/>
          <w:sz w:val="22"/>
          <w:szCs w:val="22"/>
          <w:lang w:val="es-CO" w:eastAsia="es-CO"/>
        </w:rPr>
        <w:t xml:space="preserve">Impuesto a las ventas; además se </w:t>
      </w:r>
      <w:proofErr w:type="spellStart"/>
      <w:r w:rsidR="00954D24" w:rsidRPr="00F534F0">
        <w:rPr>
          <w:rFonts w:ascii="Calibri" w:hAnsi="Calibri"/>
          <w:sz w:val="22"/>
          <w:szCs w:val="22"/>
          <w:lang w:val="es-CO" w:eastAsia="es-CO"/>
        </w:rPr>
        <w:t>redenomina</w:t>
      </w:r>
      <w:proofErr w:type="spellEnd"/>
      <w:r w:rsidR="00954D24" w:rsidRPr="00F534F0">
        <w:rPr>
          <w:rFonts w:ascii="Calibri" w:hAnsi="Calibri"/>
          <w:sz w:val="22"/>
          <w:szCs w:val="22"/>
          <w:lang w:val="es-CO" w:eastAsia="es-CO"/>
        </w:rPr>
        <w:t xml:space="preserve"> la subcuenta 142210, que pasará a denominarse: Saldo a favor de Impuesto a las ventas.</w:t>
      </w:r>
      <w:r w:rsidR="00AE58B2" w:rsidRPr="00F534F0">
        <w:rPr>
          <w:rFonts w:ascii="Calibri" w:hAnsi="Calibri"/>
          <w:sz w:val="22"/>
          <w:szCs w:val="22"/>
          <w:lang w:val="es-CO" w:eastAsia="es-CO"/>
        </w:rPr>
        <w:t xml:space="preserve"> En el mismo año, la resolución 160 de 2013 crea las subcuentas a decir: 140173 FOSYGA – Garantías para la salud, 141119 Licencias de maternidad y paternidad, 141120 Incapacidades y se </w:t>
      </w:r>
      <w:proofErr w:type="spellStart"/>
      <w:r w:rsidR="00AE58B2" w:rsidRPr="00F534F0">
        <w:rPr>
          <w:rFonts w:ascii="Calibri" w:hAnsi="Calibri"/>
          <w:sz w:val="22"/>
          <w:szCs w:val="22"/>
          <w:lang w:val="es-CO" w:eastAsia="es-CO"/>
        </w:rPr>
        <w:t>redenomina</w:t>
      </w:r>
      <w:proofErr w:type="spellEnd"/>
      <w:r w:rsidR="00AE58B2" w:rsidRPr="00F534F0">
        <w:rPr>
          <w:rFonts w:ascii="Calibri" w:hAnsi="Calibri"/>
          <w:sz w:val="22"/>
          <w:szCs w:val="22"/>
          <w:lang w:val="es-CO" w:eastAsia="es-CO"/>
        </w:rPr>
        <w:t xml:space="preserve"> la subcuenta 140166</w:t>
      </w:r>
      <w:r w:rsidR="00F321D9" w:rsidRPr="00F534F0">
        <w:rPr>
          <w:rFonts w:ascii="Calibri" w:hAnsi="Calibri"/>
          <w:sz w:val="22"/>
          <w:szCs w:val="22"/>
          <w:lang w:val="es-CO" w:eastAsia="es-CO"/>
        </w:rPr>
        <w:t>,</w:t>
      </w:r>
      <w:r w:rsidR="00AE58B2" w:rsidRPr="00F534F0">
        <w:rPr>
          <w:rFonts w:ascii="Calibri" w:hAnsi="Calibri"/>
          <w:sz w:val="22"/>
          <w:szCs w:val="22"/>
          <w:lang w:val="es-CO" w:eastAsia="es-CO"/>
        </w:rPr>
        <w:t xml:space="preserve"> </w:t>
      </w:r>
      <w:r w:rsidR="00F321D9" w:rsidRPr="00F534F0">
        <w:rPr>
          <w:rFonts w:ascii="Calibri" w:hAnsi="Calibri"/>
          <w:sz w:val="22"/>
          <w:szCs w:val="22"/>
          <w:lang w:val="es-CO" w:eastAsia="es-CO"/>
        </w:rPr>
        <w:t xml:space="preserve">que se llamará </w:t>
      </w:r>
      <w:proofErr w:type="spellStart"/>
      <w:r w:rsidR="00AE58B2" w:rsidRPr="00F534F0">
        <w:rPr>
          <w:rFonts w:ascii="Calibri" w:hAnsi="Calibri"/>
          <w:sz w:val="22"/>
          <w:szCs w:val="22"/>
          <w:lang w:val="es-CO" w:eastAsia="es-CO"/>
        </w:rPr>
        <w:t>Fosyga</w:t>
      </w:r>
      <w:proofErr w:type="spellEnd"/>
      <w:r w:rsidR="00AE58B2" w:rsidRPr="00F534F0">
        <w:rPr>
          <w:rFonts w:ascii="Calibri" w:hAnsi="Calibri"/>
          <w:sz w:val="22"/>
          <w:szCs w:val="22"/>
          <w:lang w:val="es-CO" w:eastAsia="es-CO"/>
        </w:rPr>
        <w:t xml:space="preserve"> </w:t>
      </w:r>
      <w:r w:rsidR="00F321D9" w:rsidRPr="00F534F0">
        <w:rPr>
          <w:rFonts w:ascii="Calibri" w:hAnsi="Calibri"/>
          <w:sz w:val="22"/>
          <w:szCs w:val="22"/>
          <w:lang w:val="es-CO" w:eastAsia="es-CO"/>
        </w:rPr>
        <w:t>–</w:t>
      </w:r>
      <w:r w:rsidR="00AE58B2" w:rsidRPr="00F534F0">
        <w:rPr>
          <w:rFonts w:ascii="Calibri" w:hAnsi="Calibri"/>
          <w:sz w:val="22"/>
          <w:szCs w:val="22"/>
          <w:lang w:val="es-CO" w:eastAsia="es-CO"/>
        </w:rPr>
        <w:t xml:space="preserve"> </w:t>
      </w:r>
      <w:r w:rsidR="00F321D9" w:rsidRPr="00F534F0">
        <w:rPr>
          <w:rFonts w:ascii="Calibri" w:hAnsi="Calibri"/>
          <w:sz w:val="22"/>
          <w:szCs w:val="22"/>
          <w:lang w:val="es-CO" w:eastAsia="es-CO"/>
        </w:rPr>
        <w:t>Promoción.</w:t>
      </w:r>
      <w:r w:rsidR="003D2AE3" w:rsidRPr="00F534F0">
        <w:rPr>
          <w:rFonts w:ascii="Calibri" w:hAnsi="Calibri"/>
          <w:sz w:val="22"/>
          <w:szCs w:val="22"/>
          <w:lang w:val="es-CO" w:eastAsia="es-CO"/>
        </w:rPr>
        <w:t xml:space="preserve"> En el mismo 2013, se crea</w:t>
      </w:r>
      <w:r w:rsidR="004B3366" w:rsidRPr="00F534F0">
        <w:rPr>
          <w:rFonts w:ascii="Calibri" w:hAnsi="Calibri"/>
          <w:sz w:val="22"/>
          <w:szCs w:val="22"/>
          <w:lang w:val="es-CO" w:eastAsia="es-CO"/>
        </w:rPr>
        <w:t>n</w:t>
      </w:r>
      <w:r w:rsidR="003D2AE3" w:rsidRPr="00F534F0">
        <w:rPr>
          <w:rFonts w:ascii="Calibri" w:hAnsi="Calibri"/>
          <w:sz w:val="22"/>
          <w:szCs w:val="22"/>
          <w:lang w:val="es-CO" w:eastAsia="es-CO"/>
        </w:rPr>
        <w:t xml:space="preserve"> la</w:t>
      </w:r>
      <w:r w:rsidR="004B3366" w:rsidRPr="00F534F0">
        <w:rPr>
          <w:rFonts w:ascii="Calibri" w:hAnsi="Calibri"/>
          <w:sz w:val="22"/>
          <w:szCs w:val="22"/>
          <w:lang w:val="es-CO" w:eastAsia="es-CO"/>
        </w:rPr>
        <w:t>s</w:t>
      </w:r>
      <w:r w:rsidR="003D2AE3" w:rsidRPr="00F534F0">
        <w:rPr>
          <w:rFonts w:ascii="Calibri" w:hAnsi="Calibri"/>
          <w:sz w:val="22"/>
          <w:szCs w:val="22"/>
          <w:lang w:val="es-CO" w:eastAsia="es-CO"/>
        </w:rPr>
        <w:t xml:space="preserve"> subcuenta</w:t>
      </w:r>
      <w:r w:rsidR="004B3366" w:rsidRPr="00F534F0">
        <w:rPr>
          <w:rFonts w:ascii="Calibri" w:hAnsi="Calibri"/>
          <w:sz w:val="22"/>
          <w:szCs w:val="22"/>
          <w:lang w:val="es-CO" w:eastAsia="es-CO"/>
        </w:rPr>
        <w:t>s</w:t>
      </w:r>
      <w:r w:rsidR="003D2AE3" w:rsidRPr="00F534F0">
        <w:rPr>
          <w:rFonts w:ascii="Calibri" w:hAnsi="Calibri"/>
          <w:sz w:val="22"/>
          <w:szCs w:val="22"/>
          <w:lang w:val="es-CO" w:eastAsia="es-CO"/>
        </w:rPr>
        <w:t xml:space="preserve"> 141121 Saldo a favor por compensaci</w:t>
      </w:r>
      <w:r w:rsidR="004B3366" w:rsidRPr="00F534F0">
        <w:rPr>
          <w:rFonts w:ascii="Calibri" w:hAnsi="Calibri"/>
          <w:sz w:val="22"/>
          <w:szCs w:val="22"/>
          <w:lang w:val="es-CO" w:eastAsia="es-CO"/>
        </w:rPr>
        <w:t>ón-FOSYGA,  y la 147089 Recursos de FONTV asignados no</w:t>
      </w:r>
      <w:r w:rsidR="000579B5" w:rsidRPr="00F534F0">
        <w:rPr>
          <w:rFonts w:ascii="Calibri" w:hAnsi="Calibri"/>
          <w:sz w:val="22"/>
          <w:szCs w:val="22"/>
          <w:lang w:val="es-CO" w:eastAsia="es-CO"/>
        </w:rPr>
        <w:t xml:space="preserve"> ejecutados. </w:t>
      </w:r>
      <w:r w:rsidR="00FA7730" w:rsidRPr="00F534F0">
        <w:rPr>
          <w:rFonts w:ascii="Calibri" w:hAnsi="Calibri"/>
          <w:sz w:val="22"/>
          <w:szCs w:val="22"/>
          <w:lang w:val="es-CO" w:eastAsia="es-CO"/>
        </w:rPr>
        <w:t xml:space="preserve">Mediante la resolución 634 de 2014, se crearon las siguientes subcuentas: 141708 Títulos pensionales, 141709  Recursos por conmutación pensional, 141710 Recursos por convalidación pensional, </w:t>
      </w:r>
      <w:r w:rsidR="006B4967" w:rsidRPr="00F534F0">
        <w:rPr>
          <w:rFonts w:ascii="Calibri" w:hAnsi="Calibri"/>
          <w:sz w:val="22"/>
          <w:szCs w:val="22"/>
          <w:lang w:val="es-CO" w:eastAsia="es-CO"/>
        </w:rPr>
        <w:t xml:space="preserve">141711 Reintegros pensionales, 141712 Devolución de cotizaciones. </w:t>
      </w:r>
      <w:r w:rsidR="00FA7730" w:rsidRPr="00F534F0">
        <w:rPr>
          <w:rFonts w:ascii="Calibri" w:hAnsi="Calibri"/>
          <w:sz w:val="22"/>
          <w:szCs w:val="22"/>
          <w:lang w:val="es-CO" w:eastAsia="es-CO"/>
        </w:rPr>
        <w:t xml:space="preserve">Mediante </w:t>
      </w:r>
      <w:r w:rsidR="00E32578" w:rsidRPr="00F534F0">
        <w:rPr>
          <w:rFonts w:ascii="Calibri" w:hAnsi="Calibri"/>
          <w:sz w:val="22"/>
          <w:szCs w:val="22"/>
          <w:lang w:val="es-CO" w:eastAsia="es-CO"/>
        </w:rPr>
        <w:t>l</w:t>
      </w:r>
      <w:r w:rsidR="00FA7730" w:rsidRPr="00F534F0">
        <w:rPr>
          <w:rFonts w:ascii="Calibri" w:hAnsi="Calibri"/>
          <w:sz w:val="22"/>
          <w:szCs w:val="22"/>
          <w:lang w:val="es-CO" w:eastAsia="es-CO"/>
        </w:rPr>
        <w:t>a</w:t>
      </w:r>
      <w:r w:rsidR="00E32578" w:rsidRPr="00F534F0">
        <w:rPr>
          <w:rFonts w:ascii="Calibri" w:hAnsi="Calibri"/>
          <w:sz w:val="22"/>
          <w:szCs w:val="22"/>
          <w:lang w:val="es-CO" w:eastAsia="es-CO"/>
        </w:rPr>
        <w:t xml:space="preserve"> resolución 633 de 2014, de eliminó la subcuenta: 147601 Cuotas partes de bonos pensionales redimidos. </w:t>
      </w:r>
      <w:r w:rsidR="00D43D44" w:rsidRPr="00F534F0">
        <w:rPr>
          <w:rFonts w:ascii="Calibri" w:hAnsi="Calibri"/>
          <w:sz w:val="22"/>
          <w:szCs w:val="22"/>
          <w:lang w:val="es-CO" w:eastAsia="es-CO"/>
        </w:rPr>
        <w:t xml:space="preserve">Por medio de la resolución 634 de 2014 se modificó la denominación de las siguientes cuentas y subcuentas: 1417 Administración del sistema general de pensiones con la nueva denominación: Recursos de los fondos de reservas de pensiones, 141707 Garantías estatales con la nueva denominación: Aportes estatales, 148016 Administración del sistema general de pensiones con la nueva denominación: Recursos de los fondos de reservas de pensiones. </w:t>
      </w:r>
      <w:r w:rsidR="00C43D20" w:rsidRPr="00F534F0">
        <w:rPr>
          <w:rFonts w:ascii="Calibri" w:hAnsi="Calibri"/>
          <w:sz w:val="22"/>
          <w:szCs w:val="22"/>
          <w:lang w:val="es-CO" w:eastAsia="es-CO"/>
        </w:rPr>
        <w:t xml:space="preserve">Mediante la misma resolución 634 de 2014) se eliminaron las siguientes subcuentas: 141701 Cotizaciones, 141702 Recursos para reconocimientos pensionales, 141703 Recuperación de cartera, 141706 Intereses de mora, 141790 Otros recursos de los fondos de reservas de pensiones. </w:t>
      </w:r>
      <w:r w:rsidR="00BD2083" w:rsidRPr="00F534F0">
        <w:rPr>
          <w:rFonts w:ascii="Calibri" w:hAnsi="Calibri"/>
          <w:sz w:val="22"/>
          <w:szCs w:val="22"/>
          <w:lang w:val="es-CO" w:eastAsia="es-CO"/>
        </w:rPr>
        <w:t xml:space="preserve">Mediante la resolución 635 de 2014, se creó la siguiente subcuenta: 147019 Aportes pensionales.  </w:t>
      </w:r>
      <w:r w:rsidR="000579B5" w:rsidRPr="00F534F0">
        <w:rPr>
          <w:rFonts w:ascii="Calibri" w:hAnsi="Calibri"/>
          <w:sz w:val="22"/>
          <w:szCs w:val="22"/>
          <w:lang w:val="es-CO" w:eastAsia="es-CO"/>
        </w:rPr>
        <w:t>En el año 2015 se cre</w:t>
      </w:r>
      <w:r w:rsidR="00941C15" w:rsidRPr="00F534F0">
        <w:rPr>
          <w:rFonts w:ascii="Calibri" w:hAnsi="Calibri"/>
          <w:sz w:val="22"/>
          <w:szCs w:val="22"/>
          <w:lang w:val="es-CO" w:eastAsia="es-CO"/>
        </w:rPr>
        <w:t xml:space="preserve">aron mediante la resolución 038 </w:t>
      </w:r>
      <w:r w:rsidR="000579B5" w:rsidRPr="00F534F0">
        <w:rPr>
          <w:rFonts w:ascii="Calibri" w:hAnsi="Calibri"/>
          <w:sz w:val="22"/>
          <w:szCs w:val="22"/>
          <w:lang w:val="es-CO" w:eastAsia="es-CO"/>
        </w:rPr>
        <w:t>la</w:t>
      </w:r>
      <w:r w:rsidR="00941C15" w:rsidRPr="00F534F0">
        <w:rPr>
          <w:rFonts w:ascii="Calibri" w:hAnsi="Calibri"/>
          <w:sz w:val="22"/>
          <w:szCs w:val="22"/>
          <w:lang w:val="es-CO" w:eastAsia="es-CO"/>
        </w:rPr>
        <w:t>s</w:t>
      </w:r>
      <w:r w:rsidR="000579B5" w:rsidRPr="00F534F0">
        <w:rPr>
          <w:rFonts w:ascii="Calibri" w:hAnsi="Calibri"/>
          <w:sz w:val="22"/>
          <w:szCs w:val="22"/>
          <w:lang w:val="es-CO" w:eastAsia="es-CO"/>
        </w:rPr>
        <w:t xml:space="preserve"> siguiente</w:t>
      </w:r>
      <w:r w:rsidR="00941C15" w:rsidRPr="00F534F0">
        <w:rPr>
          <w:rFonts w:ascii="Calibri" w:hAnsi="Calibri"/>
          <w:sz w:val="22"/>
          <w:szCs w:val="22"/>
          <w:lang w:val="es-CO" w:eastAsia="es-CO"/>
        </w:rPr>
        <w:t>s cuentas y</w:t>
      </w:r>
      <w:r w:rsidR="000579B5" w:rsidRPr="00F534F0">
        <w:rPr>
          <w:rFonts w:ascii="Calibri" w:hAnsi="Calibri"/>
          <w:sz w:val="22"/>
          <w:szCs w:val="22"/>
          <w:lang w:val="es-CO" w:eastAsia="es-CO"/>
        </w:rPr>
        <w:t xml:space="preserve"> subcuenta</w:t>
      </w:r>
      <w:r w:rsidR="00941C15" w:rsidRPr="00F534F0">
        <w:rPr>
          <w:rFonts w:ascii="Calibri" w:hAnsi="Calibri"/>
          <w:sz w:val="22"/>
          <w:szCs w:val="22"/>
          <w:lang w:val="es-CO" w:eastAsia="es-CO"/>
        </w:rPr>
        <w:t>s</w:t>
      </w:r>
      <w:r w:rsidR="000579B5" w:rsidRPr="00F534F0">
        <w:rPr>
          <w:rFonts w:ascii="Calibri" w:hAnsi="Calibri"/>
          <w:sz w:val="22"/>
          <w:szCs w:val="22"/>
          <w:lang w:val="es-CO" w:eastAsia="es-CO"/>
        </w:rPr>
        <w:t xml:space="preserve">: </w:t>
      </w:r>
      <w:r w:rsidR="00941C15" w:rsidRPr="00F534F0">
        <w:rPr>
          <w:rFonts w:ascii="Calibri" w:hAnsi="Calibri"/>
          <w:sz w:val="22"/>
          <w:szCs w:val="22"/>
          <w:lang w:val="es-CO" w:eastAsia="es-CO"/>
        </w:rPr>
        <w:t xml:space="preserve">1435 Saldos disponibles en patrimonios autónomos y otros recursos entregados en administración, 143501 Reintegros de tesorería, 143502 Derechos fiduciarios cedidos, y mediante la resolución </w:t>
      </w:r>
      <w:r w:rsidR="00045D64" w:rsidRPr="00F534F0">
        <w:rPr>
          <w:rFonts w:ascii="Calibri" w:hAnsi="Calibri"/>
          <w:sz w:val="22"/>
          <w:szCs w:val="22"/>
          <w:lang w:val="es-CO" w:eastAsia="es-CO"/>
        </w:rPr>
        <w:t>041</w:t>
      </w:r>
      <w:r w:rsidR="00941C15" w:rsidRPr="00F534F0">
        <w:rPr>
          <w:rFonts w:ascii="Calibri" w:hAnsi="Calibri"/>
          <w:sz w:val="22"/>
          <w:szCs w:val="22"/>
          <w:lang w:val="es-CO" w:eastAsia="es-CO"/>
        </w:rPr>
        <w:t xml:space="preserve"> de 2015 se creó la subcuenta: </w:t>
      </w:r>
      <w:r w:rsidR="000579B5" w:rsidRPr="00F534F0">
        <w:rPr>
          <w:rFonts w:ascii="Calibri" w:hAnsi="Calibri"/>
          <w:sz w:val="22"/>
          <w:szCs w:val="22"/>
          <w:lang w:val="es-CO" w:eastAsia="es-CO"/>
        </w:rPr>
        <w:t>142214 Anticipo sobretasa al impuesto sobre la renta para la equidad CREE.</w:t>
      </w:r>
    </w:p>
    <w:p w:rsidR="003D2AE3" w:rsidRPr="00F534F0" w:rsidRDefault="003D2AE3" w:rsidP="003D2AE3">
      <w:pPr>
        <w:jc w:val="both"/>
        <w:rPr>
          <w:rFonts w:ascii="Calibri" w:hAnsi="Calibri"/>
          <w:sz w:val="22"/>
          <w:szCs w:val="22"/>
          <w:lang w:val="es-CO" w:eastAsia="es-CO"/>
        </w:rPr>
      </w:pPr>
    </w:p>
    <w:p w:rsidR="003D2AE3" w:rsidRPr="00F534F0" w:rsidRDefault="003D2AE3" w:rsidP="003D2A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15</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Inventarios</w:t>
      </w:r>
      <w:r w:rsidRPr="00F534F0">
        <w:rPr>
          <w:rFonts w:ascii="Calibri" w:hAnsi="Calibri"/>
          <w:b/>
          <w:sz w:val="22"/>
          <w:szCs w:val="22"/>
          <w:lang w:val="es-CO" w:eastAsia="es-CO"/>
        </w:rPr>
        <w:t>:</w:t>
      </w:r>
      <w:r w:rsidRPr="00F534F0">
        <w:rPr>
          <w:rFonts w:ascii="Calibri" w:hAnsi="Calibri"/>
          <w:sz w:val="22"/>
          <w:szCs w:val="22"/>
          <w:lang w:val="es-CO" w:eastAsia="es-CO"/>
        </w:rPr>
        <w:t xml:space="preserve"> A partir del año 2013 se crea la subcuenta 153045 Productos petroquímicos.</w:t>
      </w:r>
    </w:p>
    <w:p w:rsidR="00C318E3" w:rsidRPr="00F534F0" w:rsidRDefault="002D7F3D" w:rsidP="003D2A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16</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Propiedades, planta y equipo</w:t>
      </w:r>
      <w:r w:rsidR="00894A56" w:rsidRPr="00F534F0">
        <w:rPr>
          <w:rFonts w:ascii="Calibri" w:hAnsi="Calibri"/>
          <w:sz w:val="22"/>
          <w:szCs w:val="22"/>
          <w:lang w:val="es-CO" w:eastAsia="es-CO"/>
        </w:rPr>
        <w:t>: S</w:t>
      </w:r>
      <w:r w:rsidR="00C318E3" w:rsidRPr="00F534F0">
        <w:rPr>
          <w:rFonts w:ascii="Calibri" w:hAnsi="Calibri"/>
          <w:sz w:val="22"/>
          <w:szCs w:val="22"/>
          <w:lang w:val="es-CO" w:eastAsia="es-CO"/>
        </w:rPr>
        <w:t>e mantiene en términos generales, aunque se destacan ciertas modificaciones realizadas en el</w:t>
      </w:r>
      <w:r w:rsidR="00894A56" w:rsidRPr="00F534F0">
        <w:rPr>
          <w:rFonts w:ascii="Calibri" w:hAnsi="Calibri"/>
          <w:sz w:val="22"/>
          <w:szCs w:val="22"/>
          <w:lang w:val="es-CO" w:eastAsia="es-CO"/>
        </w:rPr>
        <w:t xml:space="preserve"> año</w:t>
      </w:r>
      <w:r w:rsidR="00C318E3" w:rsidRPr="00F534F0">
        <w:rPr>
          <w:rFonts w:ascii="Calibri" w:hAnsi="Calibri"/>
          <w:sz w:val="22"/>
          <w:szCs w:val="22"/>
          <w:lang w:val="es-CO" w:eastAsia="es-CO"/>
        </w:rPr>
        <w:t xml:space="preserve"> 2007 donde se eliminan</w:t>
      </w:r>
      <w:r w:rsidR="00894A56" w:rsidRPr="00F534F0">
        <w:rPr>
          <w:rFonts w:ascii="Calibri" w:hAnsi="Calibri"/>
          <w:sz w:val="22"/>
          <w:szCs w:val="22"/>
          <w:lang w:val="es-CO" w:eastAsia="es-CO"/>
        </w:rPr>
        <w:t xml:space="preserve"> y reclasifican algunas cuentas y</w:t>
      </w:r>
      <w:r w:rsidR="00C318E3" w:rsidRPr="00F534F0">
        <w:rPr>
          <w:rFonts w:ascii="Calibri" w:hAnsi="Calibri"/>
          <w:sz w:val="22"/>
          <w:szCs w:val="22"/>
          <w:lang w:val="es-CO" w:eastAsia="es-CO"/>
        </w:rPr>
        <w:t xml:space="preserve"> se crean otras, de las cuales se distingue la </w:t>
      </w:r>
      <w:r w:rsidRPr="00F534F0">
        <w:rPr>
          <w:rFonts w:ascii="Calibri" w:hAnsi="Calibri"/>
          <w:sz w:val="22"/>
          <w:szCs w:val="22"/>
          <w:lang w:val="es-CO" w:eastAsia="es-CO"/>
        </w:rPr>
        <w:t>utilización de los conceptos</w:t>
      </w:r>
      <w:r w:rsidR="00C318E3" w:rsidRPr="00F534F0">
        <w:rPr>
          <w:rFonts w:ascii="Calibri" w:hAnsi="Calibri"/>
          <w:sz w:val="22"/>
          <w:szCs w:val="22"/>
          <w:lang w:val="es-CO" w:eastAsia="es-CO"/>
        </w:rPr>
        <w:t xml:space="preserve"> </w:t>
      </w:r>
      <w:r w:rsidR="00D371B4" w:rsidRPr="00F534F0">
        <w:rPr>
          <w:rFonts w:ascii="Calibri" w:hAnsi="Calibri"/>
          <w:sz w:val="22"/>
          <w:szCs w:val="22"/>
          <w:lang w:val="es-CO" w:eastAsia="es-CO"/>
        </w:rPr>
        <w:t>“</w:t>
      </w:r>
      <w:r w:rsidR="00C318E3" w:rsidRPr="00F534F0">
        <w:rPr>
          <w:rFonts w:ascii="Calibri" w:hAnsi="Calibri"/>
          <w:sz w:val="22"/>
          <w:szCs w:val="22"/>
          <w:lang w:val="es-CO" w:eastAsia="es-CO"/>
        </w:rPr>
        <w:t>pendientes de legalizar</w:t>
      </w:r>
      <w:r w:rsidR="00D371B4" w:rsidRPr="00F534F0">
        <w:rPr>
          <w:rFonts w:ascii="Calibri" w:hAnsi="Calibri"/>
          <w:sz w:val="22"/>
          <w:szCs w:val="22"/>
          <w:lang w:val="es-CO" w:eastAsia="es-CO"/>
        </w:rPr>
        <w:t>”</w:t>
      </w:r>
      <w:r w:rsidR="00C318E3" w:rsidRPr="00F534F0">
        <w:rPr>
          <w:rFonts w:ascii="Calibri" w:hAnsi="Calibri"/>
          <w:sz w:val="22"/>
          <w:szCs w:val="22"/>
          <w:lang w:val="es-CO" w:eastAsia="es-CO"/>
        </w:rPr>
        <w:t xml:space="preserve"> y </w:t>
      </w:r>
      <w:r w:rsidR="00D371B4" w:rsidRPr="00F534F0">
        <w:rPr>
          <w:rFonts w:ascii="Calibri" w:hAnsi="Calibri"/>
          <w:sz w:val="22"/>
          <w:szCs w:val="22"/>
          <w:lang w:val="es-CO" w:eastAsia="es-CO"/>
        </w:rPr>
        <w:t>“</w:t>
      </w:r>
      <w:r w:rsidR="00C318E3" w:rsidRPr="00F534F0">
        <w:rPr>
          <w:rFonts w:ascii="Calibri" w:hAnsi="Calibri"/>
          <w:sz w:val="22"/>
          <w:szCs w:val="22"/>
          <w:lang w:val="es-CO" w:eastAsia="es-CO"/>
        </w:rPr>
        <w:t>de uso permanente sin contraprestación</w:t>
      </w:r>
      <w:r w:rsidR="00D371B4" w:rsidRPr="00F534F0">
        <w:rPr>
          <w:rFonts w:ascii="Calibri" w:hAnsi="Calibri"/>
          <w:sz w:val="22"/>
          <w:szCs w:val="22"/>
          <w:lang w:val="es-CO" w:eastAsia="es-CO"/>
        </w:rPr>
        <w:t>” creando subcuentas como la 164027 Edificaciones pendientes de legalizar y la 164028 Edificaciones de uso permanente sin contraprestación, entre otras</w:t>
      </w:r>
      <w:r w:rsidR="00C318E3" w:rsidRPr="00F534F0">
        <w:rPr>
          <w:rFonts w:ascii="Calibri" w:hAnsi="Calibri"/>
          <w:sz w:val="22"/>
          <w:szCs w:val="22"/>
          <w:lang w:val="es-CO" w:eastAsia="es-CO"/>
        </w:rPr>
        <w:t>.</w:t>
      </w:r>
      <w:r w:rsidR="00C720ED" w:rsidRPr="00F534F0">
        <w:rPr>
          <w:rFonts w:ascii="Calibri" w:hAnsi="Calibri"/>
          <w:sz w:val="22"/>
          <w:szCs w:val="22"/>
          <w:lang w:val="es-CO" w:eastAsia="es-CO"/>
        </w:rPr>
        <w:t xml:space="preserve"> En</w:t>
      </w:r>
      <w:r w:rsidR="00894A56" w:rsidRPr="00F534F0">
        <w:rPr>
          <w:rFonts w:ascii="Calibri" w:hAnsi="Calibri"/>
          <w:sz w:val="22"/>
          <w:szCs w:val="22"/>
          <w:lang w:val="es-CO" w:eastAsia="es-CO"/>
        </w:rPr>
        <w:t xml:space="preserve"> el año</w:t>
      </w:r>
      <w:r w:rsidR="00C720ED" w:rsidRPr="00F534F0">
        <w:rPr>
          <w:rFonts w:ascii="Calibri" w:hAnsi="Calibri"/>
          <w:sz w:val="22"/>
          <w:szCs w:val="22"/>
          <w:lang w:val="es-CO" w:eastAsia="es-CO"/>
        </w:rPr>
        <w:t xml:space="preserve"> 2008 se elimina </w:t>
      </w:r>
      <w:proofErr w:type="gramStart"/>
      <w:r w:rsidR="00C720ED" w:rsidRPr="00F534F0">
        <w:rPr>
          <w:rFonts w:ascii="Calibri" w:hAnsi="Calibri"/>
          <w:sz w:val="22"/>
          <w:szCs w:val="22"/>
          <w:lang w:val="es-CO" w:eastAsia="es-CO"/>
        </w:rPr>
        <w:t>la subcuenta 162509</w:t>
      </w:r>
      <w:r w:rsidR="00D371B4" w:rsidRPr="00F534F0">
        <w:rPr>
          <w:rFonts w:ascii="Calibri" w:hAnsi="Calibri"/>
          <w:sz w:val="22"/>
          <w:szCs w:val="22"/>
          <w:lang w:val="es-CO" w:eastAsia="es-CO"/>
        </w:rPr>
        <w:t xml:space="preserve"> Herramientas, repuestos</w:t>
      </w:r>
      <w:proofErr w:type="gramEnd"/>
      <w:r w:rsidR="00D371B4" w:rsidRPr="00F534F0">
        <w:rPr>
          <w:rFonts w:ascii="Calibri" w:hAnsi="Calibri"/>
          <w:sz w:val="22"/>
          <w:szCs w:val="22"/>
          <w:lang w:val="es-CO" w:eastAsia="es-CO"/>
        </w:rPr>
        <w:t xml:space="preserve"> y accesorios</w:t>
      </w:r>
      <w:r w:rsidR="00C720ED" w:rsidRPr="00F534F0">
        <w:rPr>
          <w:rFonts w:ascii="Calibri" w:hAnsi="Calibri"/>
          <w:sz w:val="22"/>
          <w:szCs w:val="22"/>
          <w:lang w:val="es-CO" w:eastAsia="es-CO"/>
        </w:rPr>
        <w:t xml:space="preserve"> que estuvo vigente hasta el 1 de abril del 2008 y se homologa a la</w:t>
      </w:r>
      <w:r w:rsidR="00894A56" w:rsidRPr="00F534F0">
        <w:rPr>
          <w:rFonts w:ascii="Calibri" w:hAnsi="Calibri"/>
          <w:sz w:val="22"/>
          <w:szCs w:val="22"/>
          <w:lang w:val="es-CO" w:eastAsia="es-CO"/>
        </w:rPr>
        <w:t xml:space="preserve"> subcuenta</w:t>
      </w:r>
      <w:r w:rsidR="00C720ED" w:rsidRPr="00F534F0">
        <w:rPr>
          <w:rFonts w:ascii="Calibri" w:hAnsi="Calibri"/>
          <w:sz w:val="22"/>
          <w:szCs w:val="22"/>
          <w:lang w:val="es-CO" w:eastAsia="es-CO"/>
        </w:rPr>
        <w:t xml:space="preserve"> 165511 Herramientas y accesorios.</w:t>
      </w:r>
    </w:p>
    <w:p w:rsidR="00C318E3" w:rsidRPr="00F534F0" w:rsidRDefault="00C318E3" w:rsidP="00C318E3">
      <w:pPr>
        <w:jc w:val="both"/>
        <w:rPr>
          <w:rFonts w:ascii="Calibri" w:hAnsi="Calibri"/>
          <w:b/>
          <w:sz w:val="22"/>
          <w:szCs w:val="22"/>
          <w:u w:val="single"/>
          <w:lang w:val="es-CO" w:eastAsia="es-CO"/>
        </w:rPr>
      </w:pPr>
    </w:p>
    <w:p w:rsidR="00C318E3" w:rsidRPr="00F534F0" w:rsidRDefault="0094146B" w:rsidP="00C318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17</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Bienes de beneficio y uso público e históricos y culturales</w:t>
      </w:r>
      <w:r w:rsidR="00C318E3" w:rsidRPr="00F534F0">
        <w:rPr>
          <w:rFonts w:ascii="Calibri" w:hAnsi="Calibri"/>
          <w:sz w:val="22"/>
          <w:szCs w:val="22"/>
          <w:lang w:val="es-CO" w:eastAsia="es-CO"/>
        </w:rPr>
        <w:t xml:space="preserve">: </w:t>
      </w:r>
      <w:r w:rsidR="00DC1C49" w:rsidRPr="00F534F0">
        <w:rPr>
          <w:rFonts w:ascii="Calibri" w:hAnsi="Calibri"/>
          <w:sz w:val="22"/>
          <w:szCs w:val="22"/>
          <w:lang w:val="es-CO" w:eastAsia="es-CO"/>
        </w:rPr>
        <w:t>Este grupo</w:t>
      </w:r>
      <w:r w:rsidR="00C318E3" w:rsidRPr="00F534F0">
        <w:rPr>
          <w:rFonts w:ascii="Calibri" w:hAnsi="Calibri"/>
          <w:sz w:val="22"/>
          <w:szCs w:val="22"/>
          <w:lang w:val="es-CO" w:eastAsia="es-CO"/>
        </w:rPr>
        <w:t xml:space="preserve"> no presenta un cambio sustancial en su estructura, </w:t>
      </w:r>
      <w:r w:rsidR="00DC1C49" w:rsidRPr="00F534F0">
        <w:rPr>
          <w:rFonts w:ascii="Calibri" w:hAnsi="Calibri"/>
          <w:sz w:val="22"/>
          <w:szCs w:val="22"/>
          <w:lang w:val="es-CO" w:eastAsia="es-CO"/>
        </w:rPr>
        <w:t xml:space="preserve">pero </w:t>
      </w:r>
      <w:r w:rsidR="00C318E3" w:rsidRPr="00F534F0">
        <w:rPr>
          <w:rFonts w:ascii="Calibri" w:hAnsi="Calibri"/>
          <w:sz w:val="22"/>
          <w:szCs w:val="22"/>
          <w:lang w:val="es-CO" w:eastAsia="es-CO"/>
        </w:rPr>
        <w:t>si existe una modificación de fondo en la norma técnica donde se señala que el reconocimiento de los Bienes de beneficio y uso público e históricos y culturales debe realizarse con sujeción a la condición señalada para su medición monetaria confiable.</w:t>
      </w:r>
      <w:r w:rsidR="00C720ED" w:rsidRPr="00F534F0">
        <w:rPr>
          <w:rFonts w:ascii="Calibri" w:hAnsi="Calibri"/>
          <w:sz w:val="22"/>
          <w:szCs w:val="22"/>
          <w:lang w:val="es-CO" w:eastAsia="es-CO"/>
        </w:rPr>
        <w:t xml:space="preserve"> Para el</w:t>
      </w:r>
      <w:r w:rsidR="007F2050" w:rsidRPr="00F534F0">
        <w:rPr>
          <w:rFonts w:ascii="Calibri" w:hAnsi="Calibri"/>
          <w:sz w:val="22"/>
          <w:szCs w:val="22"/>
          <w:lang w:val="es-CO" w:eastAsia="es-CO"/>
        </w:rPr>
        <w:t xml:space="preserve"> año</w:t>
      </w:r>
      <w:r w:rsidR="00C720ED" w:rsidRPr="00F534F0">
        <w:rPr>
          <w:rFonts w:ascii="Calibri" w:hAnsi="Calibri"/>
          <w:sz w:val="22"/>
          <w:szCs w:val="22"/>
          <w:lang w:val="es-CO" w:eastAsia="es-CO"/>
        </w:rPr>
        <w:t xml:space="preserve"> 2008 se habilitan los conceptos 171507</w:t>
      </w:r>
      <w:r w:rsidRPr="00F534F0">
        <w:rPr>
          <w:rFonts w:ascii="Calibri" w:hAnsi="Calibri"/>
          <w:sz w:val="22"/>
          <w:szCs w:val="22"/>
          <w:lang w:val="es-CO" w:eastAsia="es-CO"/>
        </w:rPr>
        <w:t xml:space="preserve"> Edificaciones</w:t>
      </w:r>
      <w:r w:rsidR="00C720ED" w:rsidRPr="00F534F0">
        <w:rPr>
          <w:rFonts w:ascii="Calibri" w:hAnsi="Calibri"/>
          <w:sz w:val="22"/>
          <w:szCs w:val="22"/>
          <w:lang w:val="es-CO" w:eastAsia="es-CO"/>
        </w:rPr>
        <w:t xml:space="preserve"> y 172015 Edificaciones, que se crearon con la Resolución 558 del 2008.</w:t>
      </w:r>
    </w:p>
    <w:p w:rsidR="00C318E3" w:rsidRPr="00F534F0" w:rsidRDefault="00C318E3" w:rsidP="00C318E3">
      <w:pPr>
        <w:jc w:val="both"/>
        <w:rPr>
          <w:rFonts w:ascii="Calibri" w:hAnsi="Calibri"/>
          <w:b/>
          <w:sz w:val="22"/>
          <w:szCs w:val="22"/>
          <w:u w:val="single"/>
          <w:lang w:val="es-CO" w:eastAsia="es-CO"/>
        </w:rPr>
      </w:pPr>
    </w:p>
    <w:p w:rsidR="00C318E3" w:rsidRPr="00F534F0" w:rsidRDefault="0094146B" w:rsidP="00C318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lastRenderedPageBreak/>
        <w:t>Grupo 18</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Recursos naturales y del ambiente</w:t>
      </w:r>
      <w:r w:rsidR="00C318E3" w:rsidRPr="00F534F0">
        <w:rPr>
          <w:rFonts w:ascii="Calibri" w:hAnsi="Calibri"/>
          <w:sz w:val="22"/>
          <w:szCs w:val="22"/>
          <w:lang w:val="es-CO" w:eastAsia="es-CO"/>
        </w:rPr>
        <w:t xml:space="preserve">: </w:t>
      </w:r>
      <w:r w:rsidR="00DC1C49" w:rsidRPr="00F534F0">
        <w:rPr>
          <w:rFonts w:ascii="Calibri" w:hAnsi="Calibri"/>
          <w:sz w:val="22"/>
          <w:szCs w:val="22"/>
          <w:lang w:val="es-CO" w:eastAsia="es-CO"/>
        </w:rPr>
        <w:t>C</w:t>
      </w:r>
      <w:r w:rsidR="00C318E3" w:rsidRPr="00F534F0">
        <w:rPr>
          <w:rFonts w:ascii="Calibri" w:hAnsi="Calibri"/>
          <w:sz w:val="22"/>
          <w:szCs w:val="22"/>
          <w:lang w:val="es-CO" w:eastAsia="es-CO"/>
        </w:rPr>
        <w:t>on la expedición en</w:t>
      </w:r>
      <w:r w:rsidR="00DC1C49" w:rsidRPr="00F534F0">
        <w:rPr>
          <w:rFonts w:ascii="Calibri" w:hAnsi="Calibri"/>
          <w:sz w:val="22"/>
          <w:szCs w:val="22"/>
          <w:lang w:val="es-CO" w:eastAsia="es-CO"/>
        </w:rPr>
        <w:t xml:space="preserve"> el año</w:t>
      </w:r>
      <w:r w:rsidR="00C318E3" w:rsidRPr="00F534F0">
        <w:rPr>
          <w:rFonts w:ascii="Calibri" w:hAnsi="Calibri"/>
          <w:sz w:val="22"/>
          <w:szCs w:val="22"/>
          <w:lang w:val="es-CO" w:eastAsia="es-CO"/>
        </w:rPr>
        <w:t xml:space="preserve"> 2007 del nuevo RCP y del nuevo CGC se efectúan cambio</w:t>
      </w:r>
      <w:r w:rsidRPr="00F534F0">
        <w:rPr>
          <w:rFonts w:ascii="Calibri" w:hAnsi="Calibri"/>
          <w:sz w:val="22"/>
          <w:szCs w:val="22"/>
          <w:lang w:val="es-CO" w:eastAsia="es-CO"/>
        </w:rPr>
        <w:t>s</w:t>
      </w:r>
      <w:r w:rsidR="00C318E3" w:rsidRPr="00F534F0">
        <w:rPr>
          <w:rFonts w:ascii="Calibri" w:hAnsi="Calibri"/>
          <w:sz w:val="22"/>
          <w:szCs w:val="22"/>
          <w:lang w:val="es-CO" w:eastAsia="es-CO"/>
        </w:rPr>
        <w:t xml:space="preserve"> radicales en la composición y desagregación de este grupo, lo cual obliga a la eliminación de una serie de cuentas, cuyos valores para 2007 </w:t>
      </w:r>
      <w:r w:rsidRPr="00F534F0">
        <w:rPr>
          <w:rFonts w:ascii="Calibri" w:hAnsi="Calibri"/>
          <w:sz w:val="22"/>
          <w:szCs w:val="22"/>
          <w:lang w:val="es-CO" w:eastAsia="es-CO"/>
        </w:rPr>
        <w:t>fueron</w:t>
      </w:r>
      <w:r w:rsidR="00C318E3" w:rsidRPr="00F534F0">
        <w:rPr>
          <w:rFonts w:ascii="Calibri" w:hAnsi="Calibri"/>
          <w:sz w:val="22"/>
          <w:szCs w:val="22"/>
          <w:lang w:val="es-CO" w:eastAsia="es-CO"/>
        </w:rPr>
        <w:t xml:space="preserve"> reclasificados al Patrimonio.</w:t>
      </w:r>
    </w:p>
    <w:p w:rsidR="00C318E3" w:rsidRPr="00F534F0" w:rsidRDefault="00C318E3" w:rsidP="00C318E3">
      <w:pPr>
        <w:jc w:val="both"/>
        <w:rPr>
          <w:rFonts w:ascii="Calibri" w:hAnsi="Calibri"/>
          <w:b/>
          <w:sz w:val="22"/>
          <w:szCs w:val="22"/>
          <w:u w:val="single"/>
          <w:lang w:val="es-CO" w:eastAsia="es-CO"/>
        </w:rPr>
      </w:pPr>
    </w:p>
    <w:p w:rsidR="00D405F9" w:rsidRPr="00F534F0" w:rsidRDefault="0094146B" w:rsidP="00D405F9">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1</w:t>
      </w:r>
      <w:r w:rsidR="00D405F9" w:rsidRPr="00F534F0">
        <w:rPr>
          <w:rFonts w:ascii="Calibri" w:hAnsi="Calibri"/>
          <w:b/>
          <w:sz w:val="22"/>
          <w:szCs w:val="22"/>
          <w:u w:val="single"/>
          <w:lang w:val="es-CO" w:eastAsia="es-CO"/>
        </w:rPr>
        <w:t>9</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Otros activos</w:t>
      </w:r>
      <w:r w:rsidR="00DC1C49" w:rsidRPr="00F534F0">
        <w:rPr>
          <w:rFonts w:ascii="Calibri" w:hAnsi="Calibri"/>
          <w:sz w:val="22"/>
          <w:szCs w:val="22"/>
          <w:lang w:val="es-CO" w:eastAsia="es-CO"/>
        </w:rPr>
        <w:t xml:space="preserve">: </w:t>
      </w:r>
      <w:r w:rsidR="007F2050" w:rsidRPr="00F534F0">
        <w:rPr>
          <w:rFonts w:ascii="Calibri" w:hAnsi="Calibri"/>
          <w:sz w:val="22"/>
          <w:szCs w:val="22"/>
          <w:lang w:val="es-CO" w:eastAsia="es-CO"/>
        </w:rPr>
        <w:t>S</w:t>
      </w:r>
      <w:r w:rsidR="00C318E3" w:rsidRPr="00F534F0">
        <w:rPr>
          <w:rFonts w:ascii="Calibri" w:hAnsi="Calibri"/>
          <w:sz w:val="22"/>
          <w:szCs w:val="22"/>
          <w:lang w:val="es-CO" w:eastAsia="es-CO"/>
        </w:rPr>
        <w:t>e eliminan del CGC una serie de conceptos que a la postre afectan el Patrimonio como la</w:t>
      </w:r>
      <w:r w:rsidR="00D405F9" w:rsidRPr="00F534F0">
        <w:rPr>
          <w:rFonts w:ascii="Calibri" w:hAnsi="Calibri"/>
          <w:sz w:val="22"/>
          <w:szCs w:val="22"/>
          <w:lang w:val="es-CO" w:eastAsia="es-CO"/>
        </w:rPr>
        <w:t>s</w:t>
      </w:r>
      <w:r w:rsidR="00C318E3" w:rsidRPr="00F534F0">
        <w:rPr>
          <w:rFonts w:ascii="Calibri" w:hAnsi="Calibri"/>
          <w:sz w:val="22"/>
          <w:szCs w:val="22"/>
          <w:lang w:val="es-CO" w:eastAsia="es-CO"/>
        </w:rPr>
        <w:t xml:space="preserve"> cuenta</w:t>
      </w:r>
      <w:r w:rsidR="00D405F9" w:rsidRPr="00F534F0">
        <w:rPr>
          <w:rFonts w:ascii="Calibri" w:hAnsi="Calibri"/>
          <w:sz w:val="22"/>
          <w:szCs w:val="22"/>
          <w:lang w:val="es-CO" w:eastAsia="es-CO"/>
        </w:rPr>
        <w:t>s 1950</w:t>
      </w:r>
      <w:r w:rsidR="00C318E3" w:rsidRPr="00F534F0">
        <w:rPr>
          <w:rFonts w:ascii="Calibri" w:hAnsi="Calibri"/>
          <w:sz w:val="22"/>
          <w:szCs w:val="22"/>
          <w:lang w:val="es-CO" w:eastAsia="es-CO"/>
        </w:rPr>
        <w:t xml:space="preserve"> Responsabilidades y</w:t>
      </w:r>
      <w:r w:rsidR="00D405F9" w:rsidRPr="00F534F0">
        <w:rPr>
          <w:rFonts w:ascii="Calibri" w:hAnsi="Calibri"/>
          <w:sz w:val="22"/>
          <w:szCs w:val="22"/>
          <w:lang w:val="es-CO" w:eastAsia="es-CO"/>
        </w:rPr>
        <w:t xml:space="preserve"> la 1965</w:t>
      </w:r>
      <w:r w:rsidR="00C318E3" w:rsidRPr="00F534F0">
        <w:rPr>
          <w:rFonts w:ascii="Calibri" w:hAnsi="Calibri"/>
          <w:sz w:val="22"/>
          <w:szCs w:val="22"/>
          <w:lang w:val="es-CO" w:eastAsia="es-CO"/>
        </w:rPr>
        <w:t xml:space="preserve"> Provisión bienes de arte y cultura</w:t>
      </w:r>
      <w:r w:rsidR="00D405F9" w:rsidRPr="00F534F0">
        <w:rPr>
          <w:rFonts w:ascii="Calibri" w:hAnsi="Calibri"/>
          <w:sz w:val="22"/>
          <w:szCs w:val="22"/>
          <w:lang w:val="es-CO" w:eastAsia="es-CO"/>
        </w:rPr>
        <w:t>, entre otras</w:t>
      </w:r>
      <w:r w:rsidR="00C318E3" w:rsidRPr="00F534F0">
        <w:rPr>
          <w:rFonts w:ascii="Calibri" w:hAnsi="Calibri"/>
          <w:sz w:val="22"/>
          <w:szCs w:val="22"/>
          <w:lang w:val="es-CO" w:eastAsia="es-CO"/>
        </w:rPr>
        <w:t xml:space="preserve">. Además, se crea la cuenta </w:t>
      </w:r>
      <w:r w:rsidR="00D405F9" w:rsidRPr="00F534F0">
        <w:rPr>
          <w:rFonts w:ascii="Calibri" w:hAnsi="Calibri"/>
          <w:sz w:val="22"/>
          <w:szCs w:val="22"/>
          <w:lang w:val="es-CO" w:eastAsia="es-CO"/>
        </w:rPr>
        <w:t xml:space="preserve">1901 </w:t>
      </w:r>
      <w:r w:rsidR="00C318E3" w:rsidRPr="00F534F0">
        <w:rPr>
          <w:rFonts w:ascii="Calibri" w:hAnsi="Calibri"/>
          <w:sz w:val="22"/>
          <w:szCs w:val="22"/>
          <w:lang w:val="es-CO" w:eastAsia="es-CO"/>
        </w:rPr>
        <w:t xml:space="preserve">Reserva financiera actuarial y se cambia la denominación a la cuenta </w:t>
      </w:r>
      <w:r w:rsidR="00D405F9" w:rsidRPr="00F534F0">
        <w:rPr>
          <w:rFonts w:ascii="Calibri" w:hAnsi="Calibri"/>
          <w:sz w:val="22"/>
          <w:szCs w:val="22"/>
          <w:lang w:val="es-CO" w:eastAsia="es-CO"/>
        </w:rPr>
        <w:t xml:space="preserve">1905 </w:t>
      </w:r>
      <w:r w:rsidR="00C318E3" w:rsidRPr="00F534F0">
        <w:rPr>
          <w:rFonts w:ascii="Calibri" w:hAnsi="Calibri"/>
          <w:sz w:val="22"/>
          <w:szCs w:val="22"/>
          <w:lang w:val="es-CO" w:eastAsia="es-CO"/>
        </w:rPr>
        <w:t>Gastos pagados por anticipado, que pasa a llamarse</w:t>
      </w:r>
      <w:r w:rsidR="00D405F9" w:rsidRPr="00F534F0">
        <w:rPr>
          <w:rFonts w:ascii="Calibri" w:hAnsi="Calibri"/>
          <w:sz w:val="22"/>
          <w:szCs w:val="22"/>
          <w:lang w:val="es-CO" w:eastAsia="es-CO"/>
        </w:rPr>
        <w:t xml:space="preserve"> </w:t>
      </w:r>
      <w:r w:rsidR="00C318E3" w:rsidRPr="00F534F0">
        <w:rPr>
          <w:rFonts w:ascii="Calibri" w:hAnsi="Calibri"/>
          <w:sz w:val="22"/>
          <w:szCs w:val="22"/>
          <w:lang w:val="es-CO" w:eastAsia="es-CO"/>
        </w:rPr>
        <w:t>Bienes y servicios pagados por anticipado.</w:t>
      </w:r>
      <w:r w:rsidR="00C720ED" w:rsidRPr="00F534F0">
        <w:rPr>
          <w:rFonts w:ascii="Calibri" w:hAnsi="Calibri"/>
          <w:sz w:val="22"/>
          <w:szCs w:val="22"/>
          <w:lang w:val="es-CO" w:eastAsia="es-CO"/>
        </w:rPr>
        <w:t xml:space="preserve"> </w:t>
      </w:r>
      <w:r w:rsidR="00DC3180" w:rsidRPr="00F534F0">
        <w:rPr>
          <w:rFonts w:ascii="Calibri" w:hAnsi="Calibri"/>
          <w:sz w:val="22"/>
          <w:szCs w:val="22"/>
          <w:lang w:val="es-CO" w:eastAsia="es-CO"/>
        </w:rPr>
        <w:t>S</w:t>
      </w:r>
      <w:r w:rsidR="00C720ED" w:rsidRPr="00F534F0">
        <w:rPr>
          <w:rFonts w:ascii="Calibri" w:hAnsi="Calibri"/>
          <w:sz w:val="22"/>
          <w:szCs w:val="22"/>
          <w:lang w:val="es-CO" w:eastAsia="es-CO"/>
        </w:rPr>
        <w:t xml:space="preserve">e crea la subcuenta </w:t>
      </w:r>
      <w:r w:rsidR="00D405F9" w:rsidRPr="00F534F0">
        <w:rPr>
          <w:rFonts w:ascii="Calibri" w:hAnsi="Calibri"/>
          <w:sz w:val="22"/>
          <w:szCs w:val="22"/>
          <w:lang w:val="es-CO" w:eastAsia="es-CO"/>
        </w:rPr>
        <w:t xml:space="preserve">191039 </w:t>
      </w:r>
      <w:r w:rsidR="00C720ED" w:rsidRPr="00F534F0">
        <w:rPr>
          <w:rFonts w:ascii="Calibri" w:hAnsi="Calibri"/>
          <w:sz w:val="22"/>
          <w:szCs w:val="22"/>
          <w:lang w:val="es-CO" w:eastAsia="es-CO"/>
        </w:rPr>
        <w:t>Prima en contratos de estabilidad jurídica en cumplimiento de la Resolución 558 de 2008</w:t>
      </w:r>
      <w:r w:rsidR="00D405F9" w:rsidRPr="00F534F0">
        <w:rPr>
          <w:rFonts w:ascii="Calibri" w:hAnsi="Calibri"/>
          <w:sz w:val="22"/>
          <w:szCs w:val="22"/>
          <w:lang w:val="es-CO" w:eastAsia="es-CO"/>
        </w:rPr>
        <w:t>.</w:t>
      </w:r>
      <w:r w:rsidR="004B3366" w:rsidRPr="00F534F0">
        <w:rPr>
          <w:rFonts w:ascii="Calibri" w:hAnsi="Calibri"/>
          <w:sz w:val="22"/>
          <w:szCs w:val="22"/>
          <w:lang w:val="es-CO" w:eastAsia="es-CO"/>
        </w:rPr>
        <w:t xml:space="preserve"> En el año 2013 se crea la subcuenta 191040 Transferencias condicionadas.</w:t>
      </w:r>
    </w:p>
    <w:p w:rsidR="00D405F9" w:rsidRPr="00F534F0" w:rsidRDefault="00D405F9" w:rsidP="00D405F9">
      <w:pPr>
        <w:jc w:val="both"/>
        <w:rPr>
          <w:rFonts w:ascii="Calibri" w:hAnsi="Calibri"/>
          <w:b/>
          <w:sz w:val="22"/>
          <w:szCs w:val="22"/>
          <w:u w:val="single"/>
          <w:lang w:val="es-CO" w:eastAsia="es-CO"/>
        </w:rPr>
      </w:pPr>
    </w:p>
    <w:p w:rsidR="00D405F9" w:rsidRPr="00F534F0" w:rsidRDefault="00D405F9" w:rsidP="00D405F9">
      <w:pPr>
        <w:jc w:val="both"/>
        <w:rPr>
          <w:rFonts w:ascii="Calibri" w:hAnsi="Calibri"/>
          <w:b/>
          <w:sz w:val="28"/>
          <w:szCs w:val="28"/>
          <w:lang w:val="es-CO" w:eastAsia="es-CO"/>
        </w:rPr>
      </w:pPr>
      <w:r w:rsidRPr="00F534F0">
        <w:rPr>
          <w:rFonts w:ascii="Calibri" w:hAnsi="Calibri"/>
          <w:b/>
          <w:sz w:val="28"/>
          <w:szCs w:val="28"/>
          <w:lang w:val="es-CO" w:eastAsia="es-CO"/>
        </w:rPr>
        <w:t>Clase 2</w:t>
      </w:r>
      <w:r w:rsidR="00B7637B" w:rsidRPr="00F534F0">
        <w:rPr>
          <w:rFonts w:ascii="Calibri" w:hAnsi="Calibri"/>
          <w:b/>
          <w:sz w:val="28"/>
          <w:szCs w:val="28"/>
          <w:lang w:val="es-CO" w:eastAsia="es-CO"/>
        </w:rPr>
        <w:t>:</w:t>
      </w:r>
      <w:r w:rsidRPr="00F534F0">
        <w:rPr>
          <w:rFonts w:ascii="Calibri" w:hAnsi="Calibri"/>
          <w:b/>
          <w:sz w:val="28"/>
          <w:szCs w:val="28"/>
          <w:lang w:val="es-CO" w:eastAsia="es-CO"/>
        </w:rPr>
        <w:t xml:space="preserve"> Pasivo</w:t>
      </w:r>
    </w:p>
    <w:p w:rsidR="00C318E3" w:rsidRPr="00F534F0" w:rsidRDefault="00C318E3" w:rsidP="00C318E3">
      <w:pPr>
        <w:jc w:val="both"/>
        <w:rPr>
          <w:rFonts w:ascii="Calibri" w:hAnsi="Calibri"/>
          <w:b/>
          <w:sz w:val="22"/>
          <w:szCs w:val="22"/>
          <w:u w:val="single"/>
          <w:lang w:val="es-CO" w:eastAsia="es-CO"/>
        </w:rPr>
      </w:pPr>
    </w:p>
    <w:p w:rsidR="00C318E3" w:rsidRPr="00F534F0" w:rsidRDefault="00D405F9" w:rsidP="00C318E3">
      <w:pPr>
        <w:numPr>
          <w:ilvl w:val="0"/>
          <w:numId w:val="24"/>
        </w:numPr>
        <w:jc w:val="both"/>
        <w:rPr>
          <w:rFonts w:ascii="Calibri" w:hAnsi="Calibri"/>
          <w:sz w:val="22"/>
          <w:szCs w:val="22"/>
          <w:lang w:val="es-CO" w:eastAsia="es-CO"/>
        </w:rPr>
      </w:pPr>
      <w:r w:rsidRPr="00F534F0">
        <w:rPr>
          <w:rFonts w:ascii="Calibri" w:hAnsi="Calibri"/>
          <w:b/>
          <w:sz w:val="22"/>
          <w:szCs w:val="22"/>
          <w:u w:val="single"/>
          <w:lang w:val="es-CO" w:eastAsia="es-CO"/>
        </w:rPr>
        <w:t xml:space="preserve">Grupo </w:t>
      </w:r>
      <w:r w:rsidR="002D6384" w:rsidRPr="00F534F0">
        <w:rPr>
          <w:rFonts w:ascii="Calibri" w:hAnsi="Calibri"/>
          <w:b/>
          <w:sz w:val="22"/>
          <w:szCs w:val="22"/>
          <w:u w:val="single"/>
          <w:lang w:val="es-CO" w:eastAsia="es-CO"/>
        </w:rPr>
        <w:t>21</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Operaciones de banca central e instituciones financieras</w:t>
      </w:r>
      <w:r w:rsidR="00C318E3" w:rsidRPr="00F534F0">
        <w:rPr>
          <w:rFonts w:ascii="Calibri" w:hAnsi="Calibri"/>
          <w:sz w:val="22"/>
          <w:szCs w:val="22"/>
          <w:lang w:val="es-CO" w:eastAsia="es-CO"/>
        </w:rPr>
        <w:t xml:space="preserve">: </w:t>
      </w:r>
      <w:r w:rsidR="007F2050" w:rsidRPr="00F534F0">
        <w:rPr>
          <w:rFonts w:ascii="Calibri" w:hAnsi="Calibri"/>
          <w:sz w:val="22"/>
          <w:szCs w:val="22"/>
          <w:lang w:val="es-CO" w:eastAsia="es-CO"/>
        </w:rPr>
        <w:t xml:space="preserve">Con la promulgación del nuevo RCP en el año 2007 </w:t>
      </w:r>
      <w:r w:rsidR="0024480A" w:rsidRPr="00F534F0">
        <w:rPr>
          <w:rFonts w:ascii="Calibri" w:hAnsi="Calibri"/>
          <w:sz w:val="22"/>
          <w:szCs w:val="22"/>
          <w:lang w:val="es-CO" w:eastAsia="es-CO"/>
        </w:rPr>
        <w:t xml:space="preserve">además de </w:t>
      </w:r>
      <w:proofErr w:type="spellStart"/>
      <w:r w:rsidR="002D6384" w:rsidRPr="00F534F0">
        <w:rPr>
          <w:rFonts w:ascii="Calibri" w:hAnsi="Calibri"/>
          <w:sz w:val="22"/>
          <w:szCs w:val="22"/>
          <w:lang w:val="es-CO" w:eastAsia="es-CO"/>
        </w:rPr>
        <w:t>redenomina</w:t>
      </w:r>
      <w:r w:rsidR="0024480A" w:rsidRPr="00F534F0">
        <w:rPr>
          <w:rFonts w:ascii="Calibri" w:hAnsi="Calibri"/>
          <w:sz w:val="22"/>
          <w:szCs w:val="22"/>
          <w:lang w:val="es-CO" w:eastAsia="es-CO"/>
        </w:rPr>
        <w:t>r</w:t>
      </w:r>
      <w:proofErr w:type="spellEnd"/>
      <w:r w:rsidR="0024480A" w:rsidRPr="00F534F0">
        <w:rPr>
          <w:rFonts w:ascii="Calibri" w:hAnsi="Calibri"/>
          <w:sz w:val="22"/>
          <w:szCs w:val="22"/>
          <w:lang w:val="es-CO" w:eastAsia="es-CO"/>
        </w:rPr>
        <w:t xml:space="preserve"> el grupo,</w:t>
      </w:r>
      <w:r w:rsidR="002D6384" w:rsidRPr="00F534F0">
        <w:rPr>
          <w:rFonts w:ascii="Calibri" w:hAnsi="Calibri"/>
          <w:sz w:val="22"/>
          <w:szCs w:val="22"/>
          <w:lang w:val="es-CO" w:eastAsia="es-CO"/>
        </w:rPr>
        <w:t xml:space="preserve"> se </w:t>
      </w:r>
      <w:r w:rsidR="0024480A" w:rsidRPr="00F534F0">
        <w:rPr>
          <w:rFonts w:ascii="Calibri" w:hAnsi="Calibri"/>
          <w:sz w:val="22"/>
          <w:szCs w:val="22"/>
          <w:lang w:val="es-CO" w:eastAsia="es-CO"/>
        </w:rPr>
        <w:t>reconocen</w:t>
      </w:r>
      <w:r w:rsidR="002D6384" w:rsidRPr="00F534F0">
        <w:rPr>
          <w:rFonts w:ascii="Calibri" w:hAnsi="Calibri"/>
          <w:sz w:val="22"/>
          <w:szCs w:val="22"/>
          <w:lang w:val="es-CO" w:eastAsia="es-CO"/>
        </w:rPr>
        <w:t xml:space="preserve"> los conceptos por pagar al respectivo grupo 24 Cuentas por pagar.</w:t>
      </w:r>
    </w:p>
    <w:p w:rsidR="00C318E3" w:rsidRPr="00F534F0" w:rsidRDefault="00C318E3" w:rsidP="00C318E3">
      <w:pPr>
        <w:jc w:val="both"/>
        <w:rPr>
          <w:rFonts w:ascii="Calibri" w:hAnsi="Calibri"/>
          <w:b/>
          <w:sz w:val="22"/>
          <w:szCs w:val="22"/>
          <w:u w:val="single"/>
          <w:lang w:val="es-CO" w:eastAsia="es-CO"/>
        </w:rPr>
      </w:pPr>
    </w:p>
    <w:p w:rsidR="00C318E3" w:rsidRPr="00F534F0" w:rsidRDefault="00740FFD" w:rsidP="00C318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22</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Operaciones de crédito público y financiamiento con banca central</w:t>
      </w:r>
      <w:r w:rsidR="002725E5" w:rsidRPr="00F534F0">
        <w:rPr>
          <w:rFonts w:ascii="Calibri" w:hAnsi="Calibri"/>
          <w:sz w:val="22"/>
          <w:szCs w:val="22"/>
          <w:lang w:val="es-CO" w:eastAsia="es-CO"/>
        </w:rPr>
        <w:t>: E</w:t>
      </w:r>
      <w:r w:rsidR="00C318E3" w:rsidRPr="00F534F0">
        <w:rPr>
          <w:rFonts w:ascii="Calibri" w:hAnsi="Calibri"/>
          <w:sz w:val="22"/>
          <w:szCs w:val="22"/>
          <w:lang w:val="es-CO" w:eastAsia="es-CO"/>
        </w:rPr>
        <w:t>n el</w:t>
      </w:r>
      <w:r w:rsidR="002725E5" w:rsidRPr="00F534F0">
        <w:rPr>
          <w:rFonts w:ascii="Calibri" w:hAnsi="Calibri"/>
          <w:sz w:val="22"/>
          <w:szCs w:val="22"/>
          <w:lang w:val="es-CO" w:eastAsia="es-CO"/>
        </w:rPr>
        <w:t xml:space="preserve"> año</w:t>
      </w:r>
      <w:r w:rsidR="00C318E3" w:rsidRPr="00F534F0">
        <w:rPr>
          <w:rFonts w:ascii="Calibri" w:hAnsi="Calibri"/>
          <w:sz w:val="22"/>
          <w:szCs w:val="22"/>
          <w:lang w:val="es-CO" w:eastAsia="es-CO"/>
        </w:rPr>
        <w:t xml:space="preserve"> 2007 es el grupo con mayores cambios, debido a que con la promulgación del nuevo RCP se modifica la norma técnica sobre operaciones de crédito público y sobre operaciones de financiamiento con banca central, por tanto, </w:t>
      </w:r>
      <w:r w:rsidR="002725E5" w:rsidRPr="00F534F0">
        <w:rPr>
          <w:rFonts w:ascii="Calibri" w:hAnsi="Calibri"/>
          <w:sz w:val="22"/>
          <w:szCs w:val="22"/>
          <w:lang w:val="es-CO" w:eastAsia="es-CO"/>
        </w:rPr>
        <w:t xml:space="preserve">además de </w:t>
      </w:r>
      <w:proofErr w:type="spellStart"/>
      <w:r w:rsidR="002725E5" w:rsidRPr="00F534F0">
        <w:rPr>
          <w:rFonts w:ascii="Calibri" w:hAnsi="Calibri"/>
          <w:sz w:val="22"/>
          <w:szCs w:val="22"/>
          <w:lang w:val="es-CO" w:eastAsia="es-CO"/>
        </w:rPr>
        <w:t>redenominar</w:t>
      </w:r>
      <w:proofErr w:type="spellEnd"/>
      <w:r w:rsidR="002725E5" w:rsidRPr="00F534F0">
        <w:rPr>
          <w:rFonts w:ascii="Calibri" w:hAnsi="Calibri"/>
          <w:sz w:val="22"/>
          <w:szCs w:val="22"/>
          <w:lang w:val="es-CO" w:eastAsia="es-CO"/>
        </w:rPr>
        <w:t xml:space="preserve"> el grupo, </w:t>
      </w:r>
      <w:r w:rsidR="00C318E3" w:rsidRPr="00F534F0">
        <w:rPr>
          <w:rFonts w:ascii="Calibri" w:hAnsi="Calibri"/>
          <w:sz w:val="22"/>
          <w:szCs w:val="22"/>
          <w:lang w:val="es-CO" w:eastAsia="es-CO"/>
        </w:rPr>
        <w:t xml:space="preserve">se eliminan y reclasifican tanto en el mismo grupo como en los grupos </w:t>
      </w:r>
      <w:r w:rsidR="00636280" w:rsidRPr="00F534F0">
        <w:rPr>
          <w:rFonts w:ascii="Calibri" w:hAnsi="Calibri"/>
          <w:sz w:val="22"/>
          <w:szCs w:val="22"/>
          <w:lang w:val="es-CO" w:eastAsia="es-CO"/>
        </w:rPr>
        <w:t xml:space="preserve">23 </w:t>
      </w:r>
      <w:r w:rsidR="00C318E3" w:rsidRPr="00F534F0">
        <w:rPr>
          <w:rFonts w:ascii="Calibri" w:hAnsi="Calibri"/>
          <w:sz w:val="22"/>
          <w:szCs w:val="22"/>
          <w:lang w:val="es-CO" w:eastAsia="es-CO"/>
        </w:rPr>
        <w:t xml:space="preserve">Operaciones de financiamiento e instrumentos derivados, </w:t>
      </w:r>
      <w:r w:rsidR="00636280" w:rsidRPr="00F534F0">
        <w:rPr>
          <w:rFonts w:ascii="Calibri" w:hAnsi="Calibri"/>
          <w:sz w:val="22"/>
          <w:szCs w:val="22"/>
          <w:lang w:val="es-CO" w:eastAsia="es-CO"/>
        </w:rPr>
        <w:t xml:space="preserve">24 </w:t>
      </w:r>
      <w:r w:rsidR="00C318E3" w:rsidRPr="00F534F0">
        <w:rPr>
          <w:rFonts w:ascii="Calibri" w:hAnsi="Calibri"/>
          <w:sz w:val="22"/>
          <w:szCs w:val="22"/>
          <w:lang w:val="es-CO" w:eastAsia="es-CO"/>
        </w:rPr>
        <w:t>Cuentas por pagar y</w:t>
      </w:r>
      <w:r w:rsidR="00636280" w:rsidRPr="00F534F0">
        <w:rPr>
          <w:rFonts w:ascii="Calibri" w:hAnsi="Calibri"/>
          <w:sz w:val="22"/>
          <w:szCs w:val="22"/>
          <w:lang w:val="es-CO" w:eastAsia="es-CO"/>
        </w:rPr>
        <w:t xml:space="preserve"> en la cuenta 1910 </w:t>
      </w:r>
      <w:r w:rsidR="00C318E3" w:rsidRPr="00F534F0">
        <w:rPr>
          <w:rFonts w:ascii="Calibri" w:hAnsi="Calibri"/>
          <w:sz w:val="22"/>
          <w:szCs w:val="22"/>
          <w:lang w:val="es-CO" w:eastAsia="es-CO"/>
        </w:rPr>
        <w:t xml:space="preserve">Cargos diferidos buena cantidad de conceptos. También se crean las cuentas </w:t>
      </w:r>
      <w:r w:rsidR="00636280" w:rsidRPr="00F534F0">
        <w:rPr>
          <w:rFonts w:ascii="Calibri" w:hAnsi="Calibri"/>
          <w:sz w:val="22"/>
          <w:szCs w:val="22"/>
          <w:lang w:val="es-CO" w:eastAsia="es-CO"/>
        </w:rPr>
        <w:t xml:space="preserve">2212 </w:t>
      </w:r>
      <w:r w:rsidR="00C318E3" w:rsidRPr="00F534F0">
        <w:rPr>
          <w:rFonts w:ascii="Calibri" w:hAnsi="Calibri"/>
          <w:sz w:val="22"/>
          <w:szCs w:val="22"/>
          <w:lang w:val="es-CO" w:eastAsia="es-CO"/>
        </w:rPr>
        <w:t>Operaciones de crédito público externas de corto plazo,</w:t>
      </w:r>
      <w:r w:rsidR="00636280" w:rsidRPr="00F534F0">
        <w:rPr>
          <w:rFonts w:ascii="Calibri" w:hAnsi="Calibri"/>
          <w:sz w:val="22"/>
          <w:szCs w:val="22"/>
          <w:lang w:val="es-CO" w:eastAsia="es-CO"/>
        </w:rPr>
        <w:t xml:space="preserve"> 2213</w:t>
      </w:r>
      <w:r w:rsidR="00C318E3" w:rsidRPr="00F534F0">
        <w:rPr>
          <w:rFonts w:ascii="Calibri" w:hAnsi="Calibri"/>
          <w:sz w:val="22"/>
          <w:szCs w:val="22"/>
          <w:lang w:val="es-CO" w:eastAsia="es-CO"/>
        </w:rPr>
        <w:t xml:space="preserve"> Operaciones de crédito público externas de largo plazo y</w:t>
      </w:r>
      <w:r w:rsidR="00636280" w:rsidRPr="00F534F0">
        <w:rPr>
          <w:rFonts w:ascii="Calibri" w:hAnsi="Calibri"/>
          <w:sz w:val="22"/>
          <w:szCs w:val="22"/>
          <w:lang w:val="es-CO" w:eastAsia="es-CO"/>
        </w:rPr>
        <w:t xml:space="preserve"> la 2214</w:t>
      </w:r>
      <w:r w:rsidR="00C318E3" w:rsidRPr="00F534F0">
        <w:rPr>
          <w:rFonts w:ascii="Calibri" w:hAnsi="Calibri"/>
          <w:sz w:val="22"/>
          <w:szCs w:val="22"/>
          <w:lang w:val="es-CO" w:eastAsia="es-CO"/>
        </w:rPr>
        <w:t xml:space="preserve"> Financiamiento con Banca Central.</w:t>
      </w:r>
    </w:p>
    <w:p w:rsidR="00C318E3" w:rsidRPr="00F534F0" w:rsidRDefault="00C318E3" w:rsidP="00C318E3">
      <w:pPr>
        <w:jc w:val="both"/>
        <w:rPr>
          <w:rFonts w:ascii="Calibri" w:hAnsi="Calibri"/>
          <w:b/>
          <w:sz w:val="22"/>
          <w:szCs w:val="22"/>
          <w:u w:val="single"/>
          <w:lang w:val="es-CO" w:eastAsia="es-CO"/>
        </w:rPr>
      </w:pPr>
    </w:p>
    <w:p w:rsidR="00C318E3" w:rsidRPr="00F534F0" w:rsidRDefault="00BB66B1" w:rsidP="00C318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23</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Operaciones de financiamiento e instrumentos derivados</w:t>
      </w:r>
      <w:r w:rsidR="002725E5" w:rsidRPr="00F534F0">
        <w:rPr>
          <w:rFonts w:ascii="Calibri" w:hAnsi="Calibri"/>
          <w:sz w:val="22"/>
          <w:szCs w:val="22"/>
          <w:lang w:val="es-CO" w:eastAsia="es-CO"/>
        </w:rPr>
        <w:t>: C</w:t>
      </w:r>
      <w:r w:rsidR="00C318E3" w:rsidRPr="00F534F0">
        <w:rPr>
          <w:rFonts w:ascii="Calibri" w:hAnsi="Calibri"/>
          <w:sz w:val="22"/>
          <w:szCs w:val="22"/>
          <w:lang w:val="es-CO" w:eastAsia="es-CO"/>
        </w:rPr>
        <w:t>on ocasión del nuevo RCP y del nuevo CGC, e</w:t>
      </w:r>
      <w:r w:rsidRPr="00F534F0">
        <w:rPr>
          <w:rFonts w:ascii="Calibri" w:hAnsi="Calibri"/>
          <w:sz w:val="22"/>
          <w:szCs w:val="22"/>
          <w:lang w:val="es-CO" w:eastAsia="es-CO"/>
        </w:rPr>
        <w:t xml:space="preserve">ste </w:t>
      </w:r>
      <w:r w:rsidR="00C318E3" w:rsidRPr="00F534F0">
        <w:rPr>
          <w:rFonts w:ascii="Calibri" w:hAnsi="Calibri"/>
          <w:sz w:val="22"/>
          <w:szCs w:val="22"/>
          <w:lang w:val="es-CO" w:eastAsia="es-CO"/>
        </w:rPr>
        <w:t xml:space="preserve">grupo ya no se conoce como Obligaciones </w:t>
      </w:r>
      <w:r w:rsidR="002725E5" w:rsidRPr="00F534F0">
        <w:rPr>
          <w:rFonts w:ascii="Calibri" w:hAnsi="Calibri"/>
          <w:sz w:val="22"/>
          <w:szCs w:val="22"/>
          <w:lang w:val="es-CO" w:eastAsia="es-CO"/>
        </w:rPr>
        <w:t>financieras, cambio que no só</w:t>
      </w:r>
      <w:r w:rsidR="00C318E3" w:rsidRPr="00F534F0">
        <w:rPr>
          <w:rFonts w:ascii="Calibri" w:hAnsi="Calibri"/>
          <w:sz w:val="22"/>
          <w:szCs w:val="22"/>
          <w:lang w:val="es-CO" w:eastAsia="es-CO"/>
        </w:rPr>
        <w:t>lo</w:t>
      </w:r>
      <w:r w:rsidRPr="00F534F0">
        <w:rPr>
          <w:rFonts w:ascii="Calibri" w:hAnsi="Calibri"/>
          <w:sz w:val="22"/>
          <w:szCs w:val="22"/>
          <w:lang w:val="es-CO" w:eastAsia="es-CO"/>
        </w:rPr>
        <w:t xml:space="preserve"> afecta su</w:t>
      </w:r>
      <w:r w:rsidR="00C318E3" w:rsidRPr="00F534F0">
        <w:rPr>
          <w:rFonts w:ascii="Calibri" w:hAnsi="Calibri"/>
          <w:sz w:val="22"/>
          <w:szCs w:val="22"/>
          <w:lang w:val="es-CO" w:eastAsia="es-CO"/>
        </w:rPr>
        <w:t xml:space="preserve"> denominación, sino que se realizaron modificaciones en toda su estructura</w:t>
      </w:r>
      <w:r w:rsidRPr="00F534F0">
        <w:rPr>
          <w:rFonts w:ascii="Calibri" w:hAnsi="Calibri"/>
          <w:sz w:val="22"/>
          <w:szCs w:val="22"/>
          <w:lang w:val="es-CO" w:eastAsia="es-CO"/>
        </w:rPr>
        <w:t>,</w:t>
      </w:r>
      <w:r w:rsidR="00C318E3" w:rsidRPr="00F534F0">
        <w:rPr>
          <w:rFonts w:ascii="Calibri" w:hAnsi="Calibri"/>
          <w:sz w:val="22"/>
          <w:szCs w:val="22"/>
          <w:lang w:val="es-CO" w:eastAsia="es-CO"/>
        </w:rPr>
        <w:t xml:space="preserve"> eliminando cuentas y reclasificándolas en el mismo grupo o en el grupo</w:t>
      </w:r>
      <w:r w:rsidRPr="00F534F0">
        <w:rPr>
          <w:rFonts w:ascii="Calibri" w:hAnsi="Calibri"/>
          <w:sz w:val="22"/>
          <w:szCs w:val="22"/>
          <w:lang w:val="es-CO" w:eastAsia="es-CO"/>
        </w:rPr>
        <w:t xml:space="preserve"> 24 </w:t>
      </w:r>
      <w:r w:rsidR="00C318E3" w:rsidRPr="00F534F0">
        <w:rPr>
          <w:rFonts w:ascii="Calibri" w:hAnsi="Calibri"/>
          <w:sz w:val="22"/>
          <w:szCs w:val="22"/>
          <w:lang w:val="es-CO" w:eastAsia="es-CO"/>
        </w:rPr>
        <w:t>Cuentas por pagar</w:t>
      </w:r>
      <w:r w:rsidR="0024480A" w:rsidRPr="00F534F0">
        <w:rPr>
          <w:rFonts w:ascii="Calibri" w:hAnsi="Calibri"/>
          <w:sz w:val="22"/>
          <w:szCs w:val="22"/>
          <w:lang w:val="es-CO" w:eastAsia="es-CO"/>
        </w:rPr>
        <w:t>, además de</w:t>
      </w:r>
      <w:r w:rsidR="00C318E3" w:rsidRPr="00F534F0">
        <w:rPr>
          <w:rFonts w:ascii="Calibri" w:hAnsi="Calibri"/>
          <w:sz w:val="22"/>
          <w:szCs w:val="22"/>
          <w:lang w:val="es-CO" w:eastAsia="es-CO"/>
        </w:rPr>
        <w:t xml:space="preserve"> habilita</w:t>
      </w:r>
      <w:r w:rsidR="0024480A" w:rsidRPr="00F534F0">
        <w:rPr>
          <w:rFonts w:ascii="Calibri" w:hAnsi="Calibri"/>
          <w:sz w:val="22"/>
          <w:szCs w:val="22"/>
          <w:lang w:val="es-CO" w:eastAsia="es-CO"/>
        </w:rPr>
        <w:t>r</w:t>
      </w:r>
      <w:r w:rsidR="00C318E3" w:rsidRPr="00F534F0">
        <w:rPr>
          <w:rFonts w:ascii="Calibri" w:hAnsi="Calibri"/>
          <w:sz w:val="22"/>
          <w:szCs w:val="22"/>
          <w:lang w:val="es-CO" w:eastAsia="es-CO"/>
        </w:rPr>
        <w:t xml:space="preserve"> </w:t>
      </w:r>
      <w:r w:rsidRPr="00F534F0">
        <w:rPr>
          <w:rFonts w:ascii="Calibri" w:hAnsi="Calibri"/>
          <w:sz w:val="22"/>
          <w:szCs w:val="22"/>
          <w:lang w:val="es-CO" w:eastAsia="es-CO"/>
        </w:rPr>
        <w:t xml:space="preserve">nuevas </w:t>
      </w:r>
      <w:r w:rsidR="00C318E3" w:rsidRPr="00F534F0">
        <w:rPr>
          <w:rFonts w:ascii="Calibri" w:hAnsi="Calibri"/>
          <w:sz w:val="22"/>
          <w:szCs w:val="22"/>
          <w:lang w:val="es-CO" w:eastAsia="es-CO"/>
        </w:rPr>
        <w:t>cuentas.</w:t>
      </w:r>
    </w:p>
    <w:p w:rsidR="00C318E3" w:rsidRPr="00F534F0" w:rsidRDefault="00C318E3" w:rsidP="00C318E3">
      <w:pPr>
        <w:jc w:val="both"/>
        <w:rPr>
          <w:rFonts w:ascii="Calibri" w:hAnsi="Calibri"/>
          <w:sz w:val="22"/>
          <w:szCs w:val="22"/>
          <w:lang w:val="es-CO" w:eastAsia="es-CO"/>
        </w:rPr>
      </w:pPr>
    </w:p>
    <w:p w:rsidR="00514F62" w:rsidRPr="00F534F0" w:rsidRDefault="00C8088E" w:rsidP="00514F62">
      <w:pPr>
        <w:numPr>
          <w:ilvl w:val="0"/>
          <w:numId w:val="24"/>
        </w:numPr>
        <w:jc w:val="both"/>
        <w:rPr>
          <w:rFonts w:ascii="Calibri" w:hAnsi="Calibri"/>
          <w:sz w:val="22"/>
          <w:szCs w:val="22"/>
          <w:u w:val="single"/>
          <w:lang w:val="es-CO" w:eastAsia="es-CO"/>
        </w:rPr>
      </w:pPr>
      <w:r w:rsidRPr="00F534F0">
        <w:rPr>
          <w:rFonts w:ascii="Calibri" w:hAnsi="Calibri"/>
          <w:b/>
          <w:sz w:val="22"/>
          <w:szCs w:val="22"/>
          <w:u w:val="single"/>
          <w:lang w:val="es-CO" w:eastAsia="es-CO"/>
        </w:rPr>
        <w:t>Grupo 24</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Cuentas por pagar</w:t>
      </w:r>
      <w:r w:rsidR="002725E5" w:rsidRPr="00F534F0">
        <w:rPr>
          <w:rFonts w:ascii="Calibri" w:hAnsi="Calibri"/>
          <w:sz w:val="22"/>
          <w:szCs w:val="22"/>
          <w:lang w:val="es-CO" w:eastAsia="es-CO"/>
        </w:rPr>
        <w:t>: C</w:t>
      </w:r>
      <w:r w:rsidR="00C318E3" w:rsidRPr="00F534F0">
        <w:rPr>
          <w:rFonts w:ascii="Calibri" w:hAnsi="Calibri"/>
          <w:sz w:val="22"/>
          <w:szCs w:val="22"/>
          <w:lang w:val="es-CO" w:eastAsia="es-CO"/>
        </w:rPr>
        <w:t>omo consecuencia de la reestructuración de los dos grupos anteriores se crean nuevas cuentas para incorporar la mayoría de conceptos eliminados.</w:t>
      </w:r>
      <w:r w:rsidR="00042D4F" w:rsidRPr="00F534F0">
        <w:rPr>
          <w:rFonts w:ascii="Calibri" w:hAnsi="Calibri"/>
          <w:sz w:val="22"/>
          <w:szCs w:val="22"/>
          <w:lang w:val="es-CO" w:eastAsia="es-CO"/>
        </w:rPr>
        <w:t xml:space="preserve"> E</w:t>
      </w:r>
      <w:r w:rsidR="00DC3180" w:rsidRPr="00F534F0">
        <w:rPr>
          <w:rFonts w:ascii="Calibri" w:hAnsi="Calibri"/>
          <w:sz w:val="22"/>
          <w:szCs w:val="22"/>
          <w:lang w:val="es-CO" w:eastAsia="es-CO"/>
        </w:rPr>
        <w:t>n</w:t>
      </w:r>
      <w:r w:rsidR="00042D4F" w:rsidRPr="00F534F0">
        <w:rPr>
          <w:rFonts w:ascii="Calibri" w:hAnsi="Calibri"/>
          <w:sz w:val="22"/>
          <w:szCs w:val="22"/>
          <w:lang w:val="es-CO" w:eastAsia="es-CO"/>
        </w:rPr>
        <w:t xml:space="preserve"> el año</w:t>
      </w:r>
      <w:r w:rsidR="00DC3180" w:rsidRPr="00F534F0">
        <w:rPr>
          <w:rFonts w:ascii="Calibri" w:hAnsi="Calibri"/>
          <w:sz w:val="22"/>
          <w:szCs w:val="22"/>
          <w:lang w:val="es-CO" w:eastAsia="es-CO"/>
        </w:rPr>
        <w:t xml:space="preserve"> 2008 se incluye la subcuenta </w:t>
      </w:r>
      <w:r w:rsidRPr="00F534F0">
        <w:rPr>
          <w:rFonts w:ascii="Calibri" w:hAnsi="Calibri"/>
          <w:sz w:val="22"/>
          <w:szCs w:val="22"/>
          <w:lang w:val="es-CO" w:eastAsia="es-CO"/>
        </w:rPr>
        <w:t xml:space="preserve">242554 </w:t>
      </w:r>
      <w:r w:rsidR="00DC3180" w:rsidRPr="00F534F0">
        <w:rPr>
          <w:rFonts w:ascii="Arial" w:hAnsi="Arial" w:cs="Arial"/>
          <w:sz w:val="20"/>
          <w:szCs w:val="20"/>
          <w:lang w:val="es-CO" w:eastAsia="es-CO"/>
        </w:rPr>
        <w:t>Prima en contratos de estabilidad jurídica.</w:t>
      </w:r>
      <w:r w:rsidR="00EF58B6" w:rsidRPr="00F534F0">
        <w:rPr>
          <w:rFonts w:ascii="Arial" w:hAnsi="Arial" w:cs="Arial"/>
          <w:sz w:val="20"/>
          <w:szCs w:val="20"/>
          <w:lang w:val="es-CO" w:eastAsia="es-CO"/>
        </w:rPr>
        <w:t xml:space="preserve"> En el año 2013 se crea la subcuenta 249023 Apoyo para el </w:t>
      </w:r>
      <w:r w:rsidR="00EF58B6" w:rsidRPr="00F534F0">
        <w:rPr>
          <w:rFonts w:ascii="Calibri" w:hAnsi="Calibri"/>
          <w:sz w:val="22"/>
          <w:szCs w:val="22"/>
          <w:lang w:val="es-CO" w:eastAsia="es-CO"/>
        </w:rPr>
        <w:t>fortalecimiento de las secretarías técnicas de los Órganos Colegiados de Administración y Decisión del SGR.</w:t>
      </w:r>
      <w:r w:rsidR="00514F62" w:rsidRPr="00F534F0">
        <w:rPr>
          <w:rFonts w:ascii="Calibri" w:hAnsi="Calibri"/>
          <w:sz w:val="22"/>
          <w:szCs w:val="22"/>
          <w:lang w:val="es-CO" w:eastAsia="es-CO"/>
        </w:rPr>
        <w:t xml:space="preserve"> Con la creación de los impuestos  CREE, al consumo y a la gasolina y ACPM en 2013, se crean las subcuentas 243629 Retención de Impuesto sobre la Renta para la Equidad (CREE), 244028 Impuesto sobre la Renta para la Equidad (CREE), 244029 Impuesto nacional al consumo y 244030 Impuesto nacional a la gasolina y al ACPM.</w:t>
      </w:r>
      <w:r w:rsidR="00F321D9" w:rsidRPr="00F534F0">
        <w:rPr>
          <w:rFonts w:ascii="Calibri" w:hAnsi="Calibri"/>
          <w:sz w:val="22"/>
          <w:szCs w:val="22"/>
          <w:lang w:val="es-CO" w:eastAsia="es-CO"/>
        </w:rPr>
        <w:t xml:space="preserve"> De igual forma en éste año, se crea la cuenta 2408 Proceso de compensación FOSYGA, la cual se compondrá de las subcuentas: 240801 Subcuenta de compensación, 240802 Subcuenta </w:t>
      </w:r>
      <w:r w:rsidR="00F321D9" w:rsidRPr="00F534F0">
        <w:rPr>
          <w:rFonts w:ascii="Calibri" w:hAnsi="Calibri"/>
          <w:sz w:val="22"/>
          <w:szCs w:val="22"/>
          <w:lang w:val="es-CO" w:eastAsia="es-CO"/>
        </w:rPr>
        <w:lastRenderedPageBreak/>
        <w:t xml:space="preserve">de solidaridad, 240803 Subcuenta de promoción y la 240805 Déficit por compensación. También, se </w:t>
      </w:r>
      <w:proofErr w:type="spellStart"/>
      <w:r w:rsidR="00F321D9" w:rsidRPr="00F534F0">
        <w:rPr>
          <w:rFonts w:ascii="Calibri" w:hAnsi="Calibri"/>
          <w:sz w:val="22"/>
          <w:szCs w:val="22"/>
          <w:lang w:val="es-CO" w:eastAsia="es-CO"/>
        </w:rPr>
        <w:t>redenomina</w:t>
      </w:r>
      <w:proofErr w:type="spellEnd"/>
      <w:r w:rsidR="00F321D9" w:rsidRPr="00F534F0">
        <w:rPr>
          <w:rFonts w:ascii="Calibri" w:hAnsi="Calibri"/>
          <w:sz w:val="22"/>
          <w:szCs w:val="22"/>
          <w:lang w:val="es-CO" w:eastAsia="es-CO"/>
        </w:rPr>
        <w:t xml:space="preserve"> la subcuenta 245703, que pasa a nombrarse Promoción.</w:t>
      </w:r>
      <w:r w:rsidR="004B3366" w:rsidRPr="00F534F0">
        <w:rPr>
          <w:rFonts w:ascii="Calibri" w:hAnsi="Calibri"/>
          <w:sz w:val="22"/>
          <w:szCs w:val="22"/>
          <w:lang w:val="es-CO" w:eastAsia="es-CO"/>
        </w:rPr>
        <w:t xml:space="preserve"> En el mismo 2013 se crea la subcuenta 249024 Recursos de FONTV recibidos no ejecutados.</w:t>
      </w:r>
      <w:r w:rsidR="00005B14" w:rsidRPr="00F534F0">
        <w:rPr>
          <w:rFonts w:ascii="Calibri" w:hAnsi="Calibri"/>
          <w:sz w:val="22"/>
          <w:szCs w:val="22"/>
          <w:lang w:val="es-CO" w:eastAsia="es-CO"/>
        </w:rPr>
        <w:t xml:space="preserve"> En el año 2014 se crean las siguientes subcuentas: 243615 a empleados artículos 383 Estatuto Tributario (ET), 243616 A empleados artículo 384 ET, 243617 A trabajadores por cuenta propia, 243618 Sobre salarios de contribuyentes que no pertenecen a la categoría de empleados. En el mismo año, 2014, se elimina la subcuenta 243601 Salarios y pagos laborales.</w:t>
      </w:r>
      <w:r w:rsidR="00AE6BC7" w:rsidRPr="00F534F0">
        <w:rPr>
          <w:rFonts w:ascii="Calibri" w:hAnsi="Calibri"/>
          <w:sz w:val="22"/>
          <w:szCs w:val="22"/>
          <w:lang w:val="es-CO" w:eastAsia="es-CO"/>
        </w:rPr>
        <w:t xml:space="preserve"> En el año 2015 se crearon las siguientes subcuentas </w:t>
      </w:r>
      <w:r w:rsidR="004569D0" w:rsidRPr="00F534F0">
        <w:rPr>
          <w:rFonts w:ascii="Calibri" w:hAnsi="Calibri"/>
          <w:sz w:val="22"/>
          <w:szCs w:val="22"/>
          <w:lang w:val="es-CO" w:eastAsia="es-CO"/>
        </w:rPr>
        <w:t xml:space="preserve">con la Resolución 041 de 2015: </w:t>
      </w:r>
      <w:r w:rsidR="00AE6BC7" w:rsidRPr="00F534F0">
        <w:rPr>
          <w:rFonts w:ascii="Calibri" w:hAnsi="Calibri"/>
          <w:sz w:val="22"/>
          <w:szCs w:val="22"/>
          <w:lang w:val="es-CO" w:eastAsia="es-CO"/>
        </w:rPr>
        <w:t>244031 Impuesto a la riqueza, 244032 Impuesto complementario de normalización tributaria al impuesto a la riqueza, 244033 Sobretasa al impuesto sobre la renta para la equidad CREE.</w:t>
      </w:r>
      <w:r w:rsidR="00E411D5" w:rsidRPr="00F534F0">
        <w:rPr>
          <w:rFonts w:ascii="Calibri" w:hAnsi="Calibri"/>
          <w:sz w:val="22"/>
          <w:szCs w:val="22"/>
          <w:lang w:val="es-CO" w:eastAsia="es-CO"/>
        </w:rPr>
        <w:t xml:space="preserve"> </w:t>
      </w:r>
      <w:r w:rsidR="00662396" w:rsidRPr="00F534F0">
        <w:rPr>
          <w:rFonts w:ascii="Calibri" w:hAnsi="Calibri"/>
          <w:sz w:val="22"/>
          <w:szCs w:val="22"/>
          <w:lang w:val="es-CO" w:eastAsia="es-CO"/>
        </w:rPr>
        <w:t>M</w:t>
      </w:r>
      <w:r w:rsidR="00E411D5" w:rsidRPr="00F534F0">
        <w:rPr>
          <w:rFonts w:ascii="Calibri" w:hAnsi="Calibri"/>
          <w:sz w:val="22"/>
          <w:szCs w:val="22"/>
          <w:lang w:val="es-CO" w:eastAsia="es-CO"/>
        </w:rPr>
        <w:t xml:space="preserve">ediante la resolución 038 las siguientes cuentas y subcuentas: 2466 Saldos disponibles en patrimonios autónomos y otros recursos entregados en administración, 246601 Reintegros de tesorería, 246602 Derechos fiduciarios cedidos, y mediante la resolución 039 de 2015 se </w:t>
      </w:r>
      <w:r w:rsidR="00045D64" w:rsidRPr="00F534F0">
        <w:rPr>
          <w:rFonts w:ascii="Calibri" w:hAnsi="Calibri"/>
          <w:sz w:val="22"/>
          <w:szCs w:val="22"/>
          <w:lang w:val="es-CO" w:eastAsia="es-CO"/>
        </w:rPr>
        <w:t xml:space="preserve">modificó </w:t>
      </w:r>
      <w:r w:rsidR="004569D0" w:rsidRPr="00F534F0">
        <w:rPr>
          <w:rFonts w:ascii="Calibri" w:hAnsi="Calibri"/>
          <w:sz w:val="22"/>
          <w:szCs w:val="22"/>
          <w:lang w:val="es-CO" w:eastAsia="es-CO"/>
        </w:rPr>
        <w:t>la descripción de la cuenta Bonos Pensionales.</w:t>
      </w:r>
    </w:p>
    <w:p w:rsidR="00C318E3" w:rsidRPr="00F534F0" w:rsidRDefault="00C318E3" w:rsidP="00C318E3">
      <w:pPr>
        <w:jc w:val="both"/>
        <w:rPr>
          <w:rFonts w:ascii="Calibri" w:hAnsi="Calibri"/>
          <w:b/>
          <w:sz w:val="22"/>
          <w:szCs w:val="22"/>
          <w:u w:val="single"/>
          <w:lang w:val="es-CO" w:eastAsia="es-CO"/>
        </w:rPr>
      </w:pPr>
    </w:p>
    <w:p w:rsidR="00650626" w:rsidRPr="00F534F0" w:rsidRDefault="003B573F" w:rsidP="00650626">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2</w:t>
      </w:r>
      <w:r w:rsidR="006D300C" w:rsidRPr="00F534F0">
        <w:rPr>
          <w:rFonts w:ascii="Calibri" w:hAnsi="Calibri"/>
          <w:b/>
          <w:sz w:val="22"/>
          <w:szCs w:val="22"/>
          <w:u w:val="single"/>
          <w:lang w:val="es-CO" w:eastAsia="es-CO"/>
        </w:rPr>
        <w:t>5</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Obligaciones laborales y de seguridad social integral</w:t>
      </w:r>
      <w:r w:rsidRPr="00F534F0">
        <w:rPr>
          <w:rFonts w:ascii="Calibri" w:hAnsi="Calibri"/>
          <w:sz w:val="22"/>
          <w:szCs w:val="22"/>
          <w:lang w:val="es-CO" w:eastAsia="es-CO"/>
        </w:rPr>
        <w:t xml:space="preserve">: </w:t>
      </w:r>
      <w:r w:rsidR="00645EBD" w:rsidRPr="00F534F0">
        <w:rPr>
          <w:rFonts w:ascii="Calibri" w:hAnsi="Calibri"/>
          <w:sz w:val="22"/>
          <w:szCs w:val="22"/>
          <w:lang w:val="es-CO" w:eastAsia="es-CO"/>
        </w:rPr>
        <w:t xml:space="preserve">Mediante la resolución 634 de 2014, se modificó la denominación de la siguiente cuenta: 2570 Administración del sistema general de pensiones con la nueva denominación: Obligaciones de los fondos de reservas de pensiones. </w:t>
      </w:r>
      <w:r w:rsidRPr="00F534F0">
        <w:rPr>
          <w:rFonts w:ascii="Calibri" w:hAnsi="Calibri"/>
          <w:sz w:val="22"/>
          <w:szCs w:val="22"/>
          <w:lang w:val="es-CO" w:eastAsia="es-CO"/>
        </w:rPr>
        <w:t>En el año 2015 se creó la subcuenta: 255018 Obligaciones por servicios no POS.</w:t>
      </w:r>
      <w:r w:rsidR="00C90791" w:rsidRPr="00F534F0">
        <w:rPr>
          <w:rFonts w:ascii="Calibri" w:hAnsi="Calibri"/>
          <w:sz w:val="22"/>
          <w:szCs w:val="22"/>
          <w:lang w:val="es-CO" w:eastAsia="es-CO"/>
        </w:rPr>
        <w:t xml:space="preserve"> Mediante la </w:t>
      </w:r>
      <w:r w:rsidR="00B15478" w:rsidRPr="00F534F0">
        <w:rPr>
          <w:rFonts w:ascii="Calibri" w:hAnsi="Calibri"/>
          <w:sz w:val="22"/>
          <w:szCs w:val="22"/>
          <w:lang w:val="es-CO" w:eastAsia="es-CO"/>
        </w:rPr>
        <w:t xml:space="preserve">misma </w:t>
      </w:r>
      <w:r w:rsidR="00C90791" w:rsidRPr="00F534F0">
        <w:rPr>
          <w:rFonts w:ascii="Calibri" w:hAnsi="Calibri"/>
          <w:sz w:val="22"/>
          <w:szCs w:val="22"/>
          <w:lang w:val="es-CO" w:eastAsia="es-CO"/>
        </w:rPr>
        <w:t>resolución 564 de 2015, se modificó la denominación de las siguientes subcuentas: 255002 Contratos por evento – Contributivo por la denominación: Contratos por evento y otras modalidades  - Contributivo, y la subcuenta 255008 Contratos por evento – Subsidiado por la denominación: Contratos por evento y otras modalidades  - Subsidiado.</w:t>
      </w:r>
      <w:r w:rsidR="009E25E9" w:rsidRPr="00F534F0">
        <w:rPr>
          <w:rFonts w:ascii="Calibri" w:hAnsi="Calibri"/>
          <w:sz w:val="22"/>
          <w:szCs w:val="22"/>
          <w:lang w:val="es-CO" w:eastAsia="es-CO"/>
        </w:rPr>
        <w:t xml:space="preserve"> Con la resolución 634 de 2015 </w:t>
      </w:r>
      <w:r w:rsidR="00183051" w:rsidRPr="00F534F0">
        <w:rPr>
          <w:rFonts w:ascii="Calibri" w:hAnsi="Calibri"/>
          <w:sz w:val="22"/>
          <w:szCs w:val="22"/>
          <w:lang w:val="es-CO" w:eastAsia="es-CO"/>
        </w:rPr>
        <w:t>se modificó la denominación de la cuenta 2570 de Administración del Sistema General de Pensiones, por el de Obligaciones  de los Fondos de Reservas de Pensiones.</w:t>
      </w:r>
    </w:p>
    <w:p w:rsidR="00183051" w:rsidRPr="00F534F0" w:rsidRDefault="00183051" w:rsidP="00183051">
      <w:pPr>
        <w:pStyle w:val="Prrafodelista"/>
        <w:rPr>
          <w:b/>
          <w:u w:val="single"/>
        </w:rPr>
      </w:pPr>
    </w:p>
    <w:p w:rsidR="00F534F0" w:rsidRPr="00F534F0" w:rsidRDefault="00A650FE" w:rsidP="00F534F0">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26</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Otros bonos y títulos emitidos</w:t>
      </w:r>
      <w:r w:rsidR="00042D4F" w:rsidRPr="00F534F0">
        <w:rPr>
          <w:rFonts w:ascii="Calibri" w:hAnsi="Calibri"/>
          <w:sz w:val="22"/>
          <w:szCs w:val="22"/>
          <w:lang w:val="es-CO" w:eastAsia="es-CO"/>
        </w:rPr>
        <w:t xml:space="preserve">: </w:t>
      </w:r>
      <w:r w:rsidR="00266F8B" w:rsidRPr="00F534F0">
        <w:rPr>
          <w:rFonts w:ascii="Calibri" w:hAnsi="Calibri"/>
          <w:sz w:val="22"/>
          <w:szCs w:val="22"/>
          <w:lang w:val="es-CO" w:eastAsia="es-CO"/>
        </w:rPr>
        <w:t>En</w:t>
      </w:r>
      <w:r w:rsidR="00C318E3" w:rsidRPr="00F534F0">
        <w:rPr>
          <w:rFonts w:ascii="Calibri" w:hAnsi="Calibri"/>
          <w:sz w:val="22"/>
          <w:szCs w:val="22"/>
          <w:lang w:val="es-CO" w:eastAsia="es-CO"/>
        </w:rPr>
        <w:t xml:space="preserve"> el</w:t>
      </w:r>
      <w:r w:rsidR="00042D4F" w:rsidRPr="00F534F0">
        <w:rPr>
          <w:rFonts w:ascii="Calibri" w:hAnsi="Calibri"/>
          <w:sz w:val="22"/>
          <w:szCs w:val="22"/>
          <w:lang w:val="es-CO" w:eastAsia="es-CO"/>
        </w:rPr>
        <w:t xml:space="preserve"> año</w:t>
      </w:r>
      <w:r w:rsidR="00C318E3" w:rsidRPr="00F534F0">
        <w:rPr>
          <w:rFonts w:ascii="Calibri" w:hAnsi="Calibri"/>
          <w:sz w:val="22"/>
          <w:szCs w:val="22"/>
          <w:lang w:val="es-CO" w:eastAsia="es-CO"/>
        </w:rPr>
        <w:t xml:space="preserve"> 2007 se elimina la cuenta</w:t>
      </w:r>
      <w:r w:rsidRPr="00F534F0">
        <w:rPr>
          <w:rFonts w:ascii="Calibri" w:hAnsi="Calibri"/>
          <w:sz w:val="22"/>
          <w:szCs w:val="22"/>
          <w:lang w:val="es-CO" w:eastAsia="es-CO"/>
        </w:rPr>
        <w:t xml:space="preserve"> 2660 Intereses de títulos emitidos</w:t>
      </w:r>
      <w:r w:rsidR="00C318E3" w:rsidRPr="00F534F0">
        <w:rPr>
          <w:rFonts w:ascii="Calibri" w:hAnsi="Calibri"/>
          <w:sz w:val="22"/>
          <w:szCs w:val="22"/>
          <w:lang w:val="es-CO" w:eastAsia="es-CO"/>
        </w:rPr>
        <w:t xml:space="preserve"> y se reclasifica a la cuenta </w:t>
      </w:r>
      <w:r w:rsidRPr="00F534F0">
        <w:rPr>
          <w:rFonts w:ascii="Calibri" w:hAnsi="Calibri"/>
          <w:sz w:val="22"/>
          <w:szCs w:val="22"/>
          <w:lang w:val="es-CO" w:eastAsia="es-CO"/>
        </w:rPr>
        <w:t xml:space="preserve">2428 </w:t>
      </w:r>
      <w:r w:rsidR="00C318E3" w:rsidRPr="00F534F0">
        <w:rPr>
          <w:rFonts w:ascii="Calibri" w:hAnsi="Calibri"/>
          <w:sz w:val="22"/>
          <w:szCs w:val="22"/>
          <w:lang w:val="es-CO" w:eastAsia="es-CO"/>
        </w:rPr>
        <w:t>Intereses de títulos emitidos del grupo</w:t>
      </w:r>
      <w:r w:rsidRPr="00F534F0">
        <w:rPr>
          <w:rFonts w:ascii="Calibri" w:hAnsi="Calibri"/>
          <w:sz w:val="22"/>
          <w:szCs w:val="22"/>
          <w:lang w:val="es-CO" w:eastAsia="es-CO"/>
        </w:rPr>
        <w:t xml:space="preserve"> 24</w:t>
      </w:r>
      <w:r w:rsidR="00C318E3" w:rsidRPr="00F534F0">
        <w:rPr>
          <w:rFonts w:ascii="Calibri" w:hAnsi="Calibri"/>
          <w:sz w:val="22"/>
          <w:szCs w:val="22"/>
          <w:lang w:val="es-CO" w:eastAsia="es-CO"/>
        </w:rPr>
        <w:t xml:space="preserve"> Cuentas por pagar.</w:t>
      </w:r>
      <w:r w:rsidR="004B67EF" w:rsidRPr="00F534F0">
        <w:rPr>
          <w:rFonts w:ascii="Calibri" w:hAnsi="Calibri"/>
          <w:sz w:val="22"/>
          <w:szCs w:val="22"/>
          <w:lang w:val="es-CO" w:eastAsia="es-CO"/>
        </w:rPr>
        <w:t xml:space="preserve"> Mediante la resolución 633 de 2014, se eliminó la subcuenta: 262502 Cuotas partes de bonos pensionales emitidos por amor</w:t>
      </w:r>
      <w:r w:rsidR="00987288" w:rsidRPr="00F534F0">
        <w:rPr>
          <w:rFonts w:ascii="Calibri" w:hAnsi="Calibri"/>
          <w:sz w:val="22"/>
          <w:szCs w:val="22"/>
          <w:lang w:val="es-CO" w:eastAsia="es-CO"/>
        </w:rPr>
        <w:t>t</w:t>
      </w:r>
      <w:r w:rsidR="004B67EF" w:rsidRPr="00F534F0">
        <w:rPr>
          <w:rFonts w:ascii="Calibri" w:hAnsi="Calibri"/>
          <w:sz w:val="22"/>
          <w:szCs w:val="22"/>
          <w:lang w:val="es-CO" w:eastAsia="es-CO"/>
        </w:rPr>
        <w:t>izar (</w:t>
      </w:r>
      <w:proofErr w:type="spellStart"/>
      <w:r w:rsidR="004B67EF" w:rsidRPr="00F534F0">
        <w:rPr>
          <w:rFonts w:ascii="Calibri" w:hAnsi="Calibri"/>
          <w:sz w:val="22"/>
          <w:szCs w:val="22"/>
          <w:lang w:val="es-CO" w:eastAsia="es-CO"/>
        </w:rPr>
        <w:t>Db</w:t>
      </w:r>
      <w:proofErr w:type="spellEnd"/>
      <w:r w:rsidR="004B67EF" w:rsidRPr="00F534F0">
        <w:rPr>
          <w:rFonts w:ascii="Calibri" w:hAnsi="Calibri"/>
          <w:sz w:val="22"/>
          <w:szCs w:val="22"/>
          <w:lang w:val="es-CO" w:eastAsia="es-CO"/>
        </w:rPr>
        <w:t>).</w:t>
      </w:r>
      <w:r w:rsidR="00A8768A" w:rsidRPr="00F534F0">
        <w:rPr>
          <w:rFonts w:ascii="Calibri" w:hAnsi="Calibri"/>
          <w:sz w:val="22"/>
          <w:szCs w:val="22"/>
          <w:lang w:val="es-CO" w:eastAsia="es-CO"/>
        </w:rPr>
        <w:t xml:space="preserve">  Con la resolución 634 de 2014 se eliminaron las siguientes subcuentas: 262503 – Asegurador – Cuotas partes de bonos pensionales emitidos y 262504 - Asegurador – Cuotas partes de bonos pensionales emitidos por amortizar (</w:t>
      </w:r>
      <w:proofErr w:type="spellStart"/>
      <w:r w:rsidR="00A8768A" w:rsidRPr="00F534F0">
        <w:rPr>
          <w:rFonts w:ascii="Calibri" w:hAnsi="Calibri"/>
          <w:sz w:val="22"/>
          <w:szCs w:val="22"/>
          <w:lang w:val="es-CO" w:eastAsia="es-CO"/>
        </w:rPr>
        <w:t>Db</w:t>
      </w:r>
      <w:proofErr w:type="spellEnd"/>
      <w:r w:rsidR="00F534F0" w:rsidRPr="00F534F0">
        <w:rPr>
          <w:rFonts w:ascii="Calibri" w:hAnsi="Calibri"/>
          <w:sz w:val="22"/>
          <w:szCs w:val="22"/>
          <w:lang w:val="es-CO" w:eastAsia="es-CO"/>
        </w:rPr>
        <w:t>)</w:t>
      </w:r>
      <w:r w:rsidR="00A8768A" w:rsidRPr="00F534F0">
        <w:rPr>
          <w:rFonts w:ascii="Calibri" w:hAnsi="Calibri"/>
          <w:sz w:val="22"/>
          <w:szCs w:val="22"/>
          <w:lang w:val="es-CO" w:eastAsia="es-CO"/>
        </w:rPr>
        <w:t>.</w:t>
      </w:r>
      <w:r w:rsidR="00F534F0" w:rsidRPr="00F534F0">
        <w:rPr>
          <w:rFonts w:ascii="Calibri" w:hAnsi="Calibri"/>
          <w:sz w:val="22"/>
          <w:szCs w:val="22"/>
          <w:lang w:val="es-CO" w:eastAsia="es-CO"/>
        </w:rPr>
        <w:t xml:space="preserve"> Se modifica la descripción y dinámica de la cuenta 2625 Bonos pensionales y su contrapartida correspondiente a la subcuenta 510213 Cuotas partes de bonos pensionales emitidos de la cuenta 5102 Contribuciones imputadas.  </w:t>
      </w:r>
    </w:p>
    <w:p w:rsidR="00C318E3" w:rsidRPr="00F534F0" w:rsidRDefault="00C318E3" w:rsidP="00C318E3">
      <w:pPr>
        <w:jc w:val="both"/>
        <w:rPr>
          <w:rFonts w:ascii="Calibri" w:hAnsi="Calibri"/>
          <w:b/>
          <w:sz w:val="22"/>
          <w:szCs w:val="22"/>
          <w:u w:val="single"/>
          <w:lang w:val="es-CO" w:eastAsia="es-CO"/>
        </w:rPr>
      </w:pPr>
    </w:p>
    <w:p w:rsidR="00C318E3" w:rsidRPr="00F534F0" w:rsidRDefault="00E82477" w:rsidP="00514F62">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2</w:t>
      </w:r>
      <w:r w:rsidR="008374FB" w:rsidRPr="00F534F0">
        <w:rPr>
          <w:rFonts w:ascii="Calibri" w:hAnsi="Calibri"/>
          <w:b/>
          <w:sz w:val="22"/>
          <w:szCs w:val="22"/>
          <w:u w:val="single"/>
          <w:lang w:val="es-CO" w:eastAsia="es-CO"/>
        </w:rPr>
        <w:t>7</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C318E3" w:rsidRPr="00F534F0">
        <w:rPr>
          <w:rFonts w:ascii="Calibri" w:hAnsi="Calibri"/>
          <w:b/>
          <w:sz w:val="22"/>
          <w:szCs w:val="22"/>
          <w:u w:val="single"/>
          <w:lang w:val="es-CO" w:eastAsia="es-CO"/>
        </w:rPr>
        <w:t>Pasivos estimados</w:t>
      </w:r>
      <w:r w:rsidR="00042D4F" w:rsidRPr="00F534F0">
        <w:rPr>
          <w:rFonts w:ascii="Calibri" w:hAnsi="Calibri"/>
          <w:sz w:val="22"/>
          <w:szCs w:val="22"/>
          <w:lang w:val="es-CO" w:eastAsia="es-CO"/>
        </w:rPr>
        <w:t>: P</w:t>
      </w:r>
      <w:r w:rsidR="00C318E3" w:rsidRPr="00F534F0">
        <w:rPr>
          <w:rFonts w:ascii="Calibri" w:hAnsi="Calibri"/>
          <w:sz w:val="22"/>
          <w:szCs w:val="22"/>
          <w:lang w:val="es-CO" w:eastAsia="es-CO"/>
        </w:rPr>
        <w:t xml:space="preserve">resenta en </w:t>
      </w:r>
      <w:r w:rsidR="00042D4F" w:rsidRPr="00F534F0">
        <w:rPr>
          <w:rFonts w:ascii="Calibri" w:hAnsi="Calibri"/>
          <w:sz w:val="22"/>
          <w:szCs w:val="22"/>
          <w:lang w:val="es-CO" w:eastAsia="es-CO"/>
        </w:rPr>
        <w:t xml:space="preserve">el año </w:t>
      </w:r>
      <w:r w:rsidR="00C318E3" w:rsidRPr="00F534F0">
        <w:rPr>
          <w:rFonts w:ascii="Calibri" w:hAnsi="Calibri"/>
          <w:sz w:val="22"/>
          <w:szCs w:val="22"/>
          <w:lang w:val="es-CO" w:eastAsia="es-CO"/>
        </w:rPr>
        <w:t xml:space="preserve">2007 modificaciones como la eliminación de subcuentas y su respectivo traslado, además que se crean unas cuentas y se </w:t>
      </w:r>
      <w:proofErr w:type="spellStart"/>
      <w:r w:rsidR="00C318E3" w:rsidRPr="00F534F0">
        <w:rPr>
          <w:rFonts w:ascii="Calibri" w:hAnsi="Calibri"/>
          <w:sz w:val="22"/>
          <w:szCs w:val="22"/>
          <w:lang w:val="es-CO" w:eastAsia="es-CO"/>
        </w:rPr>
        <w:t>redenominan</w:t>
      </w:r>
      <w:proofErr w:type="spellEnd"/>
      <w:r w:rsidR="00C318E3" w:rsidRPr="00F534F0">
        <w:rPr>
          <w:rFonts w:ascii="Calibri" w:hAnsi="Calibri"/>
          <w:sz w:val="22"/>
          <w:szCs w:val="22"/>
          <w:lang w:val="es-CO" w:eastAsia="es-CO"/>
        </w:rPr>
        <w:t xml:space="preserve"> otras.</w:t>
      </w:r>
      <w:r w:rsidR="00DC3180" w:rsidRPr="00F534F0">
        <w:rPr>
          <w:rFonts w:ascii="Calibri" w:hAnsi="Calibri"/>
          <w:sz w:val="22"/>
          <w:szCs w:val="22"/>
          <w:lang w:val="es-CO" w:eastAsia="es-CO"/>
        </w:rPr>
        <w:t xml:space="preserve"> Según la Resolución 558 de 2008 se crea la subcuenta </w:t>
      </w:r>
      <w:r w:rsidR="008374FB" w:rsidRPr="00F534F0">
        <w:rPr>
          <w:rFonts w:ascii="Calibri" w:hAnsi="Calibri"/>
          <w:sz w:val="22"/>
          <w:szCs w:val="22"/>
          <w:lang w:val="es-CO" w:eastAsia="es-CO"/>
        </w:rPr>
        <w:t xml:space="preserve">271016 </w:t>
      </w:r>
      <w:r w:rsidR="00DC3180" w:rsidRPr="00F534F0">
        <w:rPr>
          <w:rFonts w:ascii="Calibri" w:hAnsi="Calibri"/>
          <w:sz w:val="22"/>
          <w:szCs w:val="22"/>
          <w:lang w:val="es-CO" w:eastAsia="es-CO"/>
        </w:rPr>
        <w:t>Reserva técnica para el pago de premios.</w:t>
      </w:r>
      <w:r w:rsidR="00514F62" w:rsidRPr="00F534F0">
        <w:rPr>
          <w:rFonts w:ascii="Calibri" w:hAnsi="Calibri"/>
          <w:sz w:val="22"/>
          <w:szCs w:val="22"/>
          <w:lang w:val="es-CO" w:eastAsia="es-CO"/>
        </w:rPr>
        <w:t xml:space="preserve"> En 2013 se crea con ocasión de la creación del CREE la subcuenta 270503 Impuesto sobre la Renta para la Equidad (CREE).</w:t>
      </w:r>
      <w:r w:rsidR="00AE6BC7" w:rsidRPr="00F534F0">
        <w:rPr>
          <w:rFonts w:ascii="Calibri" w:hAnsi="Calibri"/>
          <w:sz w:val="22"/>
          <w:szCs w:val="22"/>
          <w:lang w:val="es-CO" w:eastAsia="es-CO"/>
        </w:rPr>
        <w:t xml:space="preserve"> </w:t>
      </w:r>
      <w:r w:rsidR="00BA1396" w:rsidRPr="00F534F0">
        <w:rPr>
          <w:rFonts w:ascii="Calibri" w:hAnsi="Calibri"/>
          <w:sz w:val="22"/>
          <w:szCs w:val="22"/>
          <w:lang w:val="es-CO" w:eastAsia="es-CO"/>
        </w:rPr>
        <w:t xml:space="preserve">Mediante la resolución 633 de 2014, se eliminaron las siguientes cuentas y subcuentas: 2721 Provisión </w:t>
      </w:r>
      <w:r w:rsidR="00BA1396" w:rsidRPr="00F534F0">
        <w:rPr>
          <w:rFonts w:ascii="Calibri" w:hAnsi="Calibri"/>
          <w:sz w:val="22"/>
          <w:szCs w:val="22"/>
          <w:lang w:val="es-CO" w:eastAsia="es-CO"/>
        </w:rPr>
        <w:lastRenderedPageBreak/>
        <w:t>para bonos pensionales, 272101 Liquidación provisional de cuotas partes de bonos pensionales, 272102 Liquidación provisional de cuotas partes de bonos pensionales por amortizar (</w:t>
      </w:r>
      <w:proofErr w:type="spellStart"/>
      <w:r w:rsidR="00BA1396" w:rsidRPr="00F534F0">
        <w:rPr>
          <w:rFonts w:ascii="Calibri" w:hAnsi="Calibri"/>
          <w:sz w:val="22"/>
          <w:szCs w:val="22"/>
          <w:lang w:val="es-CO" w:eastAsia="es-CO"/>
        </w:rPr>
        <w:t>Db</w:t>
      </w:r>
      <w:proofErr w:type="spellEnd"/>
      <w:r w:rsidR="00BA1396" w:rsidRPr="00F534F0">
        <w:rPr>
          <w:rFonts w:ascii="Calibri" w:hAnsi="Calibri"/>
          <w:sz w:val="22"/>
          <w:szCs w:val="22"/>
          <w:lang w:val="es-CO" w:eastAsia="es-CO"/>
        </w:rPr>
        <w:t>), 272103 Asegurador- Liquidación provisional de cuotas partes de bonos pensionales, 272104 Asegurador - Liquidación provisional de cuotas partes de bonos pensionales por amortizar (</w:t>
      </w:r>
      <w:proofErr w:type="spellStart"/>
      <w:r w:rsidR="00BA1396" w:rsidRPr="00F534F0">
        <w:rPr>
          <w:rFonts w:ascii="Calibri" w:hAnsi="Calibri"/>
          <w:sz w:val="22"/>
          <w:szCs w:val="22"/>
          <w:lang w:val="es-CO" w:eastAsia="es-CO"/>
        </w:rPr>
        <w:t>Db</w:t>
      </w:r>
      <w:proofErr w:type="spellEnd"/>
      <w:r w:rsidR="00BA1396" w:rsidRPr="00F534F0">
        <w:rPr>
          <w:rFonts w:ascii="Calibri" w:hAnsi="Calibri"/>
          <w:sz w:val="22"/>
          <w:szCs w:val="22"/>
          <w:lang w:val="es-CO" w:eastAsia="es-CO"/>
        </w:rPr>
        <w:t xml:space="preserve">). </w:t>
      </w:r>
      <w:r w:rsidR="00F33F93" w:rsidRPr="00F534F0">
        <w:rPr>
          <w:rFonts w:ascii="Calibri" w:hAnsi="Calibri"/>
          <w:sz w:val="22"/>
          <w:szCs w:val="22"/>
          <w:lang w:val="es-CO" w:eastAsia="es-CO"/>
        </w:rPr>
        <w:t>Con la res</w:t>
      </w:r>
      <w:r w:rsidR="00A8768A" w:rsidRPr="00F534F0">
        <w:rPr>
          <w:rFonts w:ascii="Calibri" w:hAnsi="Calibri"/>
          <w:sz w:val="22"/>
          <w:szCs w:val="22"/>
          <w:lang w:val="es-CO" w:eastAsia="es-CO"/>
        </w:rPr>
        <w:t xml:space="preserve">olución 634 de 2014 se eliminaron las siguientes subcuentas: 272009 </w:t>
      </w:r>
      <w:r w:rsidR="00EB6D5C" w:rsidRPr="00F534F0">
        <w:rPr>
          <w:rFonts w:ascii="Calibri" w:hAnsi="Calibri"/>
          <w:sz w:val="22"/>
          <w:szCs w:val="22"/>
          <w:lang w:val="es-CO" w:eastAsia="es-CO"/>
        </w:rPr>
        <w:t>–Asegurador – Cálculo actuarial de pensiones actuales</w:t>
      </w:r>
      <w:r w:rsidR="00A8768A" w:rsidRPr="00F534F0">
        <w:rPr>
          <w:rFonts w:ascii="Calibri" w:hAnsi="Calibri"/>
          <w:sz w:val="22"/>
          <w:szCs w:val="22"/>
          <w:lang w:val="es-CO" w:eastAsia="es-CO"/>
        </w:rPr>
        <w:t>, 272010</w:t>
      </w:r>
      <w:r w:rsidR="00EB6D5C" w:rsidRPr="00F534F0">
        <w:rPr>
          <w:rFonts w:ascii="Calibri" w:hAnsi="Calibri"/>
          <w:sz w:val="22"/>
          <w:szCs w:val="22"/>
          <w:lang w:val="es-CO" w:eastAsia="es-CO"/>
        </w:rPr>
        <w:t xml:space="preserve"> -</w:t>
      </w:r>
      <w:r w:rsidR="00A8768A" w:rsidRPr="00F534F0">
        <w:rPr>
          <w:rFonts w:ascii="Calibri" w:hAnsi="Calibri"/>
          <w:sz w:val="22"/>
          <w:szCs w:val="22"/>
          <w:lang w:val="es-CO" w:eastAsia="es-CO"/>
        </w:rPr>
        <w:t xml:space="preserve"> </w:t>
      </w:r>
      <w:r w:rsidR="00EB6D5C" w:rsidRPr="00F534F0">
        <w:rPr>
          <w:rFonts w:ascii="Calibri" w:hAnsi="Calibri"/>
          <w:sz w:val="22"/>
          <w:szCs w:val="22"/>
          <w:lang w:val="es-CO" w:eastAsia="es-CO"/>
        </w:rPr>
        <w:t>Asegurador– Pensiones  actuales por amortizar (</w:t>
      </w:r>
      <w:proofErr w:type="spellStart"/>
      <w:r w:rsidR="00EB6D5C" w:rsidRPr="00F534F0">
        <w:rPr>
          <w:rFonts w:ascii="Calibri" w:hAnsi="Calibri"/>
          <w:sz w:val="22"/>
          <w:szCs w:val="22"/>
          <w:lang w:val="es-CO" w:eastAsia="es-CO"/>
        </w:rPr>
        <w:t>Db</w:t>
      </w:r>
      <w:proofErr w:type="spellEnd"/>
      <w:r w:rsidR="00EB6D5C" w:rsidRPr="00F534F0">
        <w:rPr>
          <w:rFonts w:ascii="Calibri" w:hAnsi="Calibri"/>
          <w:sz w:val="22"/>
          <w:szCs w:val="22"/>
          <w:lang w:val="es-CO" w:eastAsia="es-CO"/>
        </w:rPr>
        <w:t>)</w:t>
      </w:r>
      <w:r w:rsidR="00A8768A" w:rsidRPr="00F534F0">
        <w:rPr>
          <w:rFonts w:ascii="Calibri" w:hAnsi="Calibri"/>
          <w:sz w:val="22"/>
          <w:szCs w:val="22"/>
          <w:lang w:val="es-CO" w:eastAsia="es-CO"/>
        </w:rPr>
        <w:t xml:space="preserve">, 272011 - </w:t>
      </w:r>
      <w:r w:rsidR="00EB6D5C" w:rsidRPr="00F534F0">
        <w:rPr>
          <w:rFonts w:ascii="Calibri" w:hAnsi="Calibri"/>
          <w:sz w:val="22"/>
          <w:szCs w:val="22"/>
          <w:lang w:val="es-CO" w:eastAsia="es-CO"/>
        </w:rPr>
        <w:t>Cálculo actuarial de futuras pensiones</w:t>
      </w:r>
      <w:r w:rsidR="00A8768A" w:rsidRPr="00F534F0">
        <w:rPr>
          <w:rFonts w:ascii="Calibri" w:hAnsi="Calibri"/>
          <w:sz w:val="22"/>
          <w:szCs w:val="22"/>
          <w:lang w:val="es-CO" w:eastAsia="es-CO"/>
        </w:rPr>
        <w:t xml:space="preserve">, 272012 </w:t>
      </w:r>
      <w:r w:rsidR="00EB6D5C" w:rsidRPr="00F534F0">
        <w:rPr>
          <w:rFonts w:ascii="Calibri" w:hAnsi="Calibri"/>
          <w:sz w:val="22"/>
          <w:szCs w:val="22"/>
          <w:lang w:val="es-CO" w:eastAsia="es-CO"/>
        </w:rPr>
        <w:t>–</w:t>
      </w:r>
      <w:r w:rsidR="00A8768A" w:rsidRPr="00F534F0">
        <w:rPr>
          <w:rFonts w:ascii="Calibri" w:hAnsi="Calibri"/>
          <w:sz w:val="22"/>
          <w:szCs w:val="22"/>
          <w:lang w:val="es-CO" w:eastAsia="es-CO"/>
        </w:rPr>
        <w:t xml:space="preserve"> </w:t>
      </w:r>
      <w:r w:rsidR="00EB6D5C" w:rsidRPr="00F534F0">
        <w:rPr>
          <w:rFonts w:ascii="Calibri" w:hAnsi="Calibri"/>
          <w:sz w:val="22"/>
          <w:szCs w:val="22"/>
          <w:lang w:val="es-CO" w:eastAsia="es-CO"/>
        </w:rPr>
        <w:t>Asegurador – Futuras pensiones por amortizar (</w:t>
      </w:r>
      <w:proofErr w:type="spellStart"/>
      <w:r w:rsidR="00EB6D5C" w:rsidRPr="00F534F0">
        <w:rPr>
          <w:rFonts w:ascii="Calibri" w:hAnsi="Calibri"/>
          <w:sz w:val="22"/>
          <w:szCs w:val="22"/>
          <w:lang w:val="es-CO" w:eastAsia="es-CO"/>
        </w:rPr>
        <w:t>Db</w:t>
      </w:r>
      <w:proofErr w:type="spellEnd"/>
      <w:r w:rsidR="00EB6D5C" w:rsidRPr="00F534F0">
        <w:rPr>
          <w:rFonts w:ascii="Calibri" w:hAnsi="Calibri"/>
          <w:sz w:val="22"/>
          <w:szCs w:val="22"/>
          <w:lang w:val="es-CO" w:eastAsia="es-CO"/>
        </w:rPr>
        <w:t>)</w:t>
      </w:r>
      <w:r w:rsidR="00A8768A" w:rsidRPr="00F534F0">
        <w:rPr>
          <w:rFonts w:ascii="Calibri" w:hAnsi="Calibri"/>
          <w:sz w:val="22"/>
          <w:szCs w:val="22"/>
          <w:lang w:val="es-CO" w:eastAsia="es-CO"/>
        </w:rPr>
        <w:t xml:space="preserve">, 272013 </w:t>
      </w:r>
      <w:r w:rsidR="00EB6D5C" w:rsidRPr="00F534F0">
        <w:rPr>
          <w:rFonts w:ascii="Calibri" w:hAnsi="Calibri"/>
          <w:sz w:val="22"/>
          <w:szCs w:val="22"/>
          <w:lang w:val="es-CO" w:eastAsia="es-CO"/>
        </w:rPr>
        <w:t>–</w:t>
      </w:r>
      <w:r w:rsidR="00A8768A" w:rsidRPr="00F534F0">
        <w:rPr>
          <w:rFonts w:ascii="Calibri" w:hAnsi="Calibri"/>
          <w:sz w:val="22"/>
          <w:szCs w:val="22"/>
          <w:lang w:val="es-CO" w:eastAsia="es-CO"/>
        </w:rPr>
        <w:t xml:space="preserve"> </w:t>
      </w:r>
      <w:r w:rsidR="00EB6D5C" w:rsidRPr="00F534F0">
        <w:rPr>
          <w:rFonts w:ascii="Calibri" w:hAnsi="Calibri"/>
          <w:sz w:val="22"/>
          <w:szCs w:val="22"/>
          <w:lang w:val="es-CO" w:eastAsia="es-CO"/>
        </w:rPr>
        <w:t>Asegurador - Cálculo actuarial de cuotas partes de pensiones</w:t>
      </w:r>
      <w:r w:rsidR="00A8768A" w:rsidRPr="00F534F0">
        <w:rPr>
          <w:rFonts w:ascii="Calibri" w:hAnsi="Calibri"/>
          <w:sz w:val="22"/>
          <w:szCs w:val="22"/>
          <w:lang w:val="es-CO" w:eastAsia="es-CO"/>
        </w:rPr>
        <w:t xml:space="preserve"> y 272014 </w:t>
      </w:r>
      <w:r w:rsidR="00EB6D5C" w:rsidRPr="00F534F0">
        <w:rPr>
          <w:rFonts w:ascii="Calibri" w:hAnsi="Calibri"/>
          <w:sz w:val="22"/>
          <w:szCs w:val="22"/>
          <w:lang w:val="es-CO" w:eastAsia="es-CO"/>
        </w:rPr>
        <w:t>–</w:t>
      </w:r>
      <w:r w:rsidR="00A8768A" w:rsidRPr="00F534F0">
        <w:rPr>
          <w:rFonts w:ascii="Calibri" w:hAnsi="Calibri"/>
          <w:sz w:val="22"/>
          <w:szCs w:val="22"/>
          <w:lang w:val="es-CO" w:eastAsia="es-CO"/>
        </w:rPr>
        <w:t xml:space="preserve"> </w:t>
      </w:r>
      <w:r w:rsidR="00EB6D5C" w:rsidRPr="00F534F0">
        <w:rPr>
          <w:rFonts w:ascii="Calibri" w:hAnsi="Calibri"/>
          <w:sz w:val="22"/>
          <w:szCs w:val="22"/>
          <w:lang w:val="es-CO" w:eastAsia="es-CO"/>
        </w:rPr>
        <w:t xml:space="preserve">Asegurador </w:t>
      </w:r>
      <w:r w:rsidR="004543DF" w:rsidRPr="00F534F0">
        <w:rPr>
          <w:rFonts w:ascii="Calibri" w:hAnsi="Calibri"/>
          <w:sz w:val="22"/>
          <w:szCs w:val="22"/>
          <w:lang w:val="es-CO" w:eastAsia="es-CO"/>
        </w:rPr>
        <w:t>–</w:t>
      </w:r>
      <w:r w:rsidR="00EB6D5C" w:rsidRPr="00F534F0">
        <w:rPr>
          <w:rFonts w:ascii="Calibri" w:hAnsi="Calibri"/>
          <w:sz w:val="22"/>
          <w:szCs w:val="22"/>
          <w:lang w:val="es-CO" w:eastAsia="es-CO"/>
        </w:rPr>
        <w:t xml:space="preserve"> C</w:t>
      </w:r>
      <w:r w:rsidR="004543DF" w:rsidRPr="00F534F0">
        <w:rPr>
          <w:rFonts w:ascii="Calibri" w:hAnsi="Calibri"/>
          <w:sz w:val="22"/>
          <w:szCs w:val="22"/>
          <w:lang w:val="es-CO" w:eastAsia="es-CO"/>
        </w:rPr>
        <w:t xml:space="preserve">uotas partes de pensiones </w:t>
      </w:r>
      <w:r w:rsidR="00EB6D5C" w:rsidRPr="00F534F0">
        <w:rPr>
          <w:rFonts w:ascii="Calibri" w:hAnsi="Calibri"/>
          <w:sz w:val="22"/>
          <w:szCs w:val="22"/>
          <w:lang w:val="es-CO" w:eastAsia="es-CO"/>
        </w:rPr>
        <w:t>por amortizar (</w:t>
      </w:r>
      <w:proofErr w:type="spellStart"/>
      <w:r w:rsidR="00EB6D5C" w:rsidRPr="00F534F0">
        <w:rPr>
          <w:rFonts w:ascii="Calibri" w:hAnsi="Calibri"/>
          <w:sz w:val="22"/>
          <w:szCs w:val="22"/>
          <w:lang w:val="es-CO" w:eastAsia="es-CO"/>
        </w:rPr>
        <w:t>Db</w:t>
      </w:r>
      <w:proofErr w:type="spellEnd"/>
      <w:r w:rsidR="00EB6D5C" w:rsidRPr="00F534F0">
        <w:rPr>
          <w:rFonts w:ascii="Calibri" w:hAnsi="Calibri"/>
          <w:sz w:val="22"/>
          <w:szCs w:val="22"/>
          <w:lang w:val="es-CO" w:eastAsia="es-CO"/>
        </w:rPr>
        <w:t>)</w:t>
      </w:r>
      <w:r w:rsidR="00A8768A" w:rsidRPr="00F534F0">
        <w:rPr>
          <w:rFonts w:ascii="Calibri" w:hAnsi="Calibri"/>
          <w:sz w:val="22"/>
          <w:szCs w:val="22"/>
          <w:lang w:val="es-CO" w:eastAsia="es-CO"/>
        </w:rPr>
        <w:t xml:space="preserve">,  </w:t>
      </w:r>
      <w:r w:rsidR="00AE6BC7" w:rsidRPr="00F534F0">
        <w:rPr>
          <w:rFonts w:ascii="Calibri" w:hAnsi="Calibri"/>
          <w:sz w:val="22"/>
          <w:szCs w:val="22"/>
          <w:lang w:val="es-CO" w:eastAsia="es-CO"/>
        </w:rPr>
        <w:t>En el año 2015 se creó la subcuenta: 270507 Sobretasa al impuesto sobre la renta para la equidad CREE.</w:t>
      </w:r>
      <w:r w:rsidR="00B97CBB" w:rsidRPr="00F534F0">
        <w:rPr>
          <w:rFonts w:ascii="Calibri" w:hAnsi="Calibri"/>
          <w:sz w:val="22"/>
          <w:szCs w:val="22"/>
          <w:lang w:val="es-CO" w:eastAsia="es-CO"/>
        </w:rPr>
        <w:t xml:space="preserve"> En el año 2015 se crearon las </w:t>
      </w:r>
      <w:proofErr w:type="spellStart"/>
      <w:r w:rsidR="00B97CBB" w:rsidRPr="00F534F0">
        <w:rPr>
          <w:rFonts w:ascii="Calibri" w:hAnsi="Calibri"/>
          <w:sz w:val="22"/>
          <w:szCs w:val="22"/>
          <w:lang w:val="es-CO" w:eastAsia="es-CO"/>
        </w:rPr>
        <w:t>subuentas</w:t>
      </w:r>
      <w:proofErr w:type="spellEnd"/>
      <w:r w:rsidR="00B97CBB" w:rsidRPr="00F534F0">
        <w:rPr>
          <w:rFonts w:ascii="Calibri" w:hAnsi="Calibri"/>
          <w:sz w:val="22"/>
          <w:szCs w:val="22"/>
          <w:lang w:val="es-CO" w:eastAsia="es-CO"/>
        </w:rPr>
        <w:t>: 279021 Reservas técnicas por servicios de salud autorizados, 279022 Reservas técnicas por servicios de salud ocurridos no conocidos</w:t>
      </w:r>
      <w:r w:rsidR="00F74210" w:rsidRPr="00F534F0">
        <w:rPr>
          <w:rFonts w:ascii="Calibri" w:hAnsi="Calibri"/>
          <w:sz w:val="22"/>
          <w:szCs w:val="22"/>
          <w:lang w:val="es-CO" w:eastAsia="es-CO"/>
        </w:rPr>
        <w:t xml:space="preserve">, 279023 Reservas técnicas por incapacidades, 279024 Otras reservas técnicas. </w:t>
      </w:r>
    </w:p>
    <w:p w:rsidR="00514F62" w:rsidRPr="00F534F0" w:rsidRDefault="00514F62" w:rsidP="00514F62">
      <w:pPr>
        <w:pStyle w:val="Prrafodelista"/>
        <w:spacing w:after="0" w:line="240" w:lineRule="auto"/>
        <w:rPr>
          <w:b/>
          <w:u w:val="single"/>
        </w:rPr>
      </w:pPr>
    </w:p>
    <w:p w:rsidR="00044DD9" w:rsidRPr="00F534F0" w:rsidRDefault="00514F62" w:rsidP="00044DD9">
      <w:pPr>
        <w:numPr>
          <w:ilvl w:val="0"/>
          <w:numId w:val="24"/>
        </w:numPr>
        <w:jc w:val="both"/>
        <w:rPr>
          <w:rFonts w:ascii="Calibri" w:hAnsi="Calibri"/>
          <w:sz w:val="22"/>
          <w:szCs w:val="22"/>
          <w:lang w:val="es-CO" w:eastAsia="es-CO"/>
        </w:rPr>
      </w:pPr>
      <w:r w:rsidRPr="00F534F0">
        <w:rPr>
          <w:rFonts w:ascii="Calibri" w:hAnsi="Calibri"/>
          <w:b/>
          <w:sz w:val="22"/>
          <w:szCs w:val="22"/>
          <w:u w:val="single"/>
          <w:lang w:val="es-CO" w:eastAsia="es-CO"/>
        </w:rPr>
        <w:t>Grupo 29</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w:t>
      </w:r>
      <w:r w:rsidR="00954D24" w:rsidRPr="00F534F0">
        <w:rPr>
          <w:rFonts w:ascii="Calibri" w:hAnsi="Calibri"/>
          <w:b/>
          <w:sz w:val="22"/>
          <w:szCs w:val="22"/>
          <w:u w:val="single"/>
          <w:lang w:val="es-CO" w:eastAsia="es-CO"/>
        </w:rPr>
        <w:t>Otros pasivos</w:t>
      </w:r>
      <w:r w:rsidR="00954D24" w:rsidRPr="00F534F0">
        <w:rPr>
          <w:rFonts w:ascii="Calibri" w:hAnsi="Calibri"/>
          <w:b/>
          <w:sz w:val="22"/>
          <w:szCs w:val="22"/>
          <w:lang w:val="es-CO" w:eastAsia="es-CO"/>
        </w:rPr>
        <w:t>:</w:t>
      </w:r>
      <w:r w:rsidR="00954D24" w:rsidRPr="00F534F0">
        <w:rPr>
          <w:rFonts w:ascii="Calibri" w:hAnsi="Calibri"/>
          <w:sz w:val="22"/>
          <w:szCs w:val="22"/>
          <w:lang w:val="es-CO" w:eastAsia="es-CO"/>
        </w:rPr>
        <w:t xml:space="preserve"> Se crean las subcuentas 291707 Retención de Impuesto sobre la Renta para la Equidad (CREE) y 291708 Anticipo de impuesto sobre las ventas para el año 2013 debido a la creación del nuevo impuesto CREE.</w:t>
      </w:r>
      <w:r w:rsidR="004B3366" w:rsidRPr="00F534F0">
        <w:rPr>
          <w:rFonts w:ascii="Calibri" w:hAnsi="Calibri"/>
          <w:sz w:val="22"/>
          <w:szCs w:val="22"/>
          <w:lang w:val="es-CO" w:eastAsia="es-CO"/>
        </w:rPr>
        <w:t xml:space="preserve"> Además, en éste mismo año se crea la subcuenta 291522 Transferencias condicionadas.</w:t>
      </w:r>
      <w:r w:rsidR="00B92A5D" w:rsidRPr="00F534F0">
        <w:rPr>
          <w:rFonts w:ascii="Calibri" w:hAnsi="Calibri"/>
          <w:sz w:val="22"/>
          <w:szCs w:val="22"/>
          <w:lang w:val="es-CO" w:eastAsia="es-CO"/>
        </w:rPr>
        <w:t xml:space="preserve"> En el año 2014 se crea la subcuenta 292510 Proyectos de inversión de los municipios ribereños del Río Grande de la Magdalena y Canal del Dique.</w:t>
      </w:r>
      <w:r w:rsidR="00044DD9" w:rsidRPr="00F534F0">
        <w:rPr>
          <w:rFonts w:ascii="Calibri" w:hAnsi="Calibri"/>
          <w:sz w:val="22"/>
          <w:szCs w:val="22"/>
          <w:lang w:val="es-CO" w:eastAsia="es-CO"/>
        </w:rPr>
        <w:t xml:space="preserve"> En el año 2015 se creó la subcuenta: 291709 Anticipo sobretasa al impuesto sobre la renta para la equidad CREE.</w:t>
      </w:r>
    </w:p>
    <w:p w:rsidR="00CB56D3" w:rsidRPr="00F534F0" w:rsidRDefault="00CB56D3" w:rsidP="00CB56D3">
      <w:pPr>
        <w:jc w:val="both"/>
        <w:rPr>
          <w:rFonts w:ascii="Calibri" w:hAnsi="Calibri"/>
          <w:sz w:val="22"/>
          <w:szCs w:val="22"/>
          <w:lang w:val="es-CO" w:eastAsia="es-CO"/>
        </w:rPr>
      </w:pPr>
    </w:p>
    <w:p w:rsidR="008374FB" w:rsidRPr="00F534F0" w:rsidRDefault="008374FB" w:rsidP="008374FB">
      <w:pPr>
        <w:jc w:val="both"/>
        <w:rPr>
          <w:rFonts w:ascii="Calibri" w:hAnsi="Calibri"/>
          <w:b/>
          <w:sz w:val="28"/>
          <w:szCs w:val="28"/>
          <w:lang w:val="es-CO" w:eastAsia="es-CO"/>
        </w:rPr>
      </w:pPr>
      <w:r w:rsidRPr="00F534F0">
        <w:rPr>
          <w:rFonts w:ascii="Calibri" w:hAnsi="Calibri"/>
          <w:b/>
          <w:sz w:val="28"/>
          <w:szCs w:val="28"/>
          <w:lang w:val="es-CO" w:eastAsia="es-CO"/>
        </w:rPr>
        <w:t>Clase 3</w:t>
      </w:r>
      <w:r w:rsidR="00B7637B" w:rsidRPr="00F534F0">
        <w:rPr>
          <w:rFonts w:ascii="Calibri" w:hAnsi="Calibri"/>
          <w:b/>
          <w:sz w:val="28"/>
          <w:szCs w:val="28"/>
          <w:lang w:val="es-CO" w:eastAsia="es-CO"/>
        </w:rPr>
        <w:t>:</w:t>
      </w:r>
      <w:r w:rsidRPr="00F534F0">
        <w:rPr>
          <w:rFonts w:ascii="Calibri" w:hAnsi="Calibri"/>
          <w:b/>
          <w:sz w:val="28"/>
          <w:szCs w:val="28"/>
          <w:lang w:val="es-CO" w:eastAsia="es-CO"/>
        </w:rPr>
        <w:t xml:space="preserve"> Patrimonio</w:t>
      </w:r>
    </w:p>
    <w:p w:rsidR="00C318E3" w:rsidRPr="00F534F0" w:rsidRDefault="00C318E3" w:rsidP="00C318E3">
      <w:pPr>
        <w:jc w:val="both"/>
        <w:rPr>
          <w:rFonts w:ascii="Calibri" w:hAnsi="Calibri"/>
          <w:b/>
          <w:sz w:val="22"/>
          <w:szCs w:val="22"/>
          <w:u w:val="single"/>
          <w:lang w:val="es-CO" w:eastAsia="es-CO"/>
        </w:rPr>
      </w:pPr>
    </w:p>
    <w:p w:rsidR="00C318E3" w:rsidRPr="00F534F0" w:rsidRDefault="008374FB" w:rsidP="00C318E3">
      <w:pPr>
        <w:numPr>
          <w:ilvl w:val="0"/>
          <w:numId w:val="24"/>
        </w:numPr>
        <w:jc w:val="both"/>
        <w:rPr>
          <w:rFonts w:ascii="Calibri" w:hAnsi="Calibri"/>
          <w:b/>
          <w:sz w:val="22"/>
          <w:szCs w:val="22"/>
          <w:u w:val="single"/>
          <w:lang w:val="es-CO" w:eastAsia="es-CO"/>
        </w:rPr>
      </w:pPr>
      <w:r w:rsidRPr="00F534F0">
        <w:rPr>
          <w:rFonts w:ascii="Calibri" w:hAnsi="Calibri"/>
          <w:b/>
          <w:sz w:val="22"/>
          <w:szCs w:val="22"/>
          <w:u w:val="single"/>
          <w:lang w:val="es-CO" w:eastAsia="es-CO"/>
        </w:rPr>
        <w:t>Grupo 31</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H</w:t>
      </w:r>
      <w:r w:rsidR="00C318E3" w:rsidRPr="00F534F0">
        <w:rPr>
          <w:rFonts w:ascii="Calibri" w:hAnsi="Calibri"/>
          <w:b/>
          <w:sz w:val="22"/>
          <w:szCs w:val="22"/>
          <w:u w:val="single"/>
          <w:lang w:val="es-CO" w:eastAsia="es-CO"/>
        </w:rPr>
        <w:t>acienda pública</w:t>
      </w:r>
      <w:r w:rsidR="00042D4F" w:rsidRPr="00F534F0">
        <w:rPr>
          <w:rFonts w:ascii="Calibri" w:hAnsi="Calibri"/>
          <w:sz w:val="22"/>
          <w:szCs w:val="22"/>
          <w:lang w:val="es-CO" w:eastAsia="es-CO"/>
        </w:rPr>
        <w:t xml:space="preserve">: </w:t>
      </w:r>
      <w:r w:rsidR="006B5BC4" w:rsidRPr="00F534F0">
        <w:rPr>
          <w:rFonts w:ascii="Calibri" w:hAnsi="Calibri"/>
          <w:sz w:val="22"/>
          <w:szCs w:val="22"/>
          <w:lang w:val="es-CO" w:eastAsia="es-CO"/>
        </w:rPr>
        <w:t>C</w:t>
      </w:r>
      <w:r w:rsidR="00C318E3" w:rsidRPr="00F534F0">
        <w:rPr>
          <w:rFonts w:ascii="Calibri" w:hAnsi="Calibri"/>
          <w:sz w:val="22"/>
          <w:szCs w:val="22"/>
          <w:lang w:val="es-CO" w:eastAsia="es-CO"/>
        </w:rPr>
        <w:t xml:space="preserve">omo consecuencia de la reestructuración del Grupo de Inversiones, se modifica la estructura de la cuenta </w:t>
      </w:r>
      <w:r w:rsidRPr="00F534F0">
        <w:rPr>
          <w:rFonts w:ascii="Calibri" w:hAnsi="Calibri"/>
          <w:sz w:val="22"/>
          <w:szCs w:val="22"/>
          <w:lang w:val="es-CO" w:eastAsia="es-CO"/>
        </w:rPr>
        <w:t xml:space="preserve">3117 </w:t>
      </w:r>
      <w:r w:rsidR="00C318E3" w:rsidRPr="00F534F0">
        <w:rPr>
          <w:rFonts w:ascii="Calibri" w:hAnsi="Calibri"/>
          <w:sz w:val="22"/>
          <w:szCs w:val="22"/>
          <w:lang w:val="es-CO" w:eastAsia="es-CO"/>
        </w:rPr>
        <w:t>Superávit por el método de participación patrimonial, al igual que la cuenta</w:t>
      </w:r>
      <w:r w:rsidRPr="00F534F0">
        <w:rPr>
          <w:rFonts w:ascii="Calibri" w:hAnsi="Calibri"/>
          <w:sz w:val="22"/>
          <w:szCs w:val="22"/>
          <w:lang w:val="es-CO" w:eastAsia="es-CO"/>
        </w:rPr>
        <w:t xml:space="preserve"> 3115</w:t>
      </w:r>
      <w:r w:rsidR="00C318E3" w:rsidRPr="00F534F0">
        <w:rPr>
          <w:rFonts w:ascii="Calibri" w:hAnsi="Calibri"/>
          <w:sz w:val="22"/>
          <w:szCs w:val="22"/>
          <w:lang w:val="es-CO" w:eastAsia="es-CO"/>
        </w:rPr>
        <w:t xml:space="preserve"> Superávit por valorización.</w:t>
      </w:r>
    </w:p>
    <w:p w:rsidR="00C318E3" w:rsidRPr="00F534F0" w:rsidRDefault="00C318E3" w:rsidP="00C318E3">
      <w:pPr>
        <w:jc w:val="both"/>
        <w:rPr>
          <w:rFonts w:ascii="Calibri" w:hAnsi="Calibri"/>
          <w:b/>
          <w:sz w:val="22"/>
          <w:szCs w:val="22"/>
          <w:u w:val="single"/>
          <w:lang w:val="es-CO" w:eastAsia="es-CO"/>
        </w:rPr>
      </w:pPr>
    </w:p>
    <w:p w:rsidR="00C318E3" w:rsidRPr="00F534F0" w:rsidRDefault="00B708F6" w:rsidP="00C318E3">
      <w:pPr>
        <w:numPr>
          <w:ilvl w:val="0"/>
          <w:numId w:val="25"/>
        </w:numPr>
        <w:jc w:val="both"/>
        <w:rPr>
          <w:rFonts w:ascii="Calibri" w:hAnsi="Calibri"/>
          <w:sz w:val="22"/>
          <w:szCs w:val="22"/>
          <w:lang w:val="es-CO" w:eastAsia="es-CO"/>
        </w:rPr>
      </w:pPr>
      <w:r w:rsidRPr="00F534F0">
        <w:rPr>
          <w:rFonts w:ascii="Calibri" w:hAnsi="Calibri"/>
          <w:b/>
          <w:sz w:val="22"/>
          <w:szCs w:val="22"/>
          <w:u w:val="single"/>
          <w:lang w:val="es-CO" w:eastAsia="es-CO"/>
        </w:rPr>
        <w:t>Grupo 3</w:t>
      </w:r>
      <w:r w:rsidR="003016DD" w:rsidRPr="00F534F0">
        <w:rPr>
          <w:rFonts w:ascii="Calibri" w:hAnsi="Calibri"/>
          <w:b/>
          <w:sz w:val="22"/>
          <w:szCs w:val="22"/>
          <w:u w:val="single"/>
          <w:lang w:val="es-CO" w:eastAsia="es-CO"/>
        </w:rPr>
        <w:t>2</w:t>
      </w:r>
      <w:r w:rsidR="00C40EC5">
        <w:rPr>
          <w:rFonts w:ascii="Calibri" w:hAnsi="Calibri"/>
          <w:b/>
          <w:sz w:val="22"/>
          <w:szCs w:val="22"/>
          <w:u w:val="single"/>
          <w:lang w:val="es-CO" w:eastAsia="es-CO"/>
        </w:rPr>
        <w:t>.</w:t>
      </w:r>
      <w:r w:rsidRPr="00F534F0">
        <w:rPr>
          <w:rFonts w:ascii="Calibri" w:hAnsi="Calibri"/>
          <w:b/>
          <w:sz w:val="22"/>
          <w:szCs w:val="22"/>
          <w:u w:val="single"/>
          <w:lang w:val="es-CO" w:eastAsia="es-CO"/>
        </w:rPr>
        <w:t xml:space="preserve"> P</w:t>
      </w:r>
      <w:r w:rsidR="00C318E3" w:rsidRPr="00F534F0">
        <w:rPr>
          <w:rFonts w:ascii="Calibri" w:hAnsi="Calibri"/>
          <w:b/>
          <w:sz w:val="22"/>
          <w:szCs w:val="22"/>
          <w:u w:val="single"/>
          <w:lang w:val="es-CO" w:eastAsia="es-CO"/>
        </w:rPr>
        <w:t>atrimonio institucional</w:t>
      </w:r>
      <w:r w:rsidR="00C318E3" w:rsidRPr="00F534F0">
        <w:rPr>
          <w:rFonts w:ascii="Calibri" w:hAnsi="Calibri"/>
          <w:sz w:val="22"/>
          <w:szCs w:val="22"/>
          <w:lang w:val="es-CO" w:eastAsia="es-CO"/>
        </w:rPr>
        <w:t xml:space="preserve">: </w:t>
      </w:r>
      <w:r w:rsidR="006B5BC4" w:rsidRPr="00F534F0">
        <w:rPr>
          <w:rFonts w:ascii="Calibri" w:hAnsi="Calibri"/>
          <w:sz w:val="22"/>
          <w:szCs w:val="22"/>
          <w:lang w:val="es-CO" w:eastAsia="es-CO"/>
        </w:rPr>
        <w:t xml:space="preserve">Se </w:t>
      </w:r>
      <w:r w:rsidR="00C318E3" w:rsidRPr="00F534F0">
        <w:rPr>
          <w:rFonts w:ascii="Calibri" w:hAnsi="Calibri"/>
          <w:sz w:val="22"/>
          <w:szCs w:val="22"/>
          <w:lang w:val="es-CO" w:eastAsia="es-CO"/>
        </w:rPr>
        <w:t xml:space="preserve">crea la cuenta </w:t>
      </w:r>
      <w:r w:rsidR="008A7046" w:rsidRPr="00F534F0">
        <w:rPr>
          <w:rFonts w:ascii="Calibri" w:hAnsi="Calibri"/>
          <w:sz w:val="22"/>
          <w:szCs w:val="22"/>
          <w:lang w:val="es-CO" w:eastAsia="es-CO"/>
        </w:rPr>
        <w:t xml:space="preserve">3259 </w:t>
      </w:r>
      <w:r w:rsidR="00C318E3" w:rsidRPr="00F534F0">
        <w:rPr>
          <w:rFonts w:ascii="Calibri" w:hAnsi="Calibri"/>
          <w:sz w:val="22"/>
          <w:szCs w:val="22"/>
          <w:lang w:val="es-CO" w:eastAsia="es-CO"/>
        </w:rPr>
        <w:t>Efecto por la aplicación del régimen de contabilidad pública y la reorganización de las cuentas</w:t>
      </w:r>
      <w:r w:rsidR="008A7046" w:rsidRPr="00F534F0">
        <w:rPr>
          <w:rFonts w:ascii="Calibri" w:hAnsi="Calibri"/>
          <w:sz w:val="22"/>
          <w:szCs w:val="22"/>
          <w:lang w:val="es-CO" w:eastAsia="es-CO"/>
        </w:rPr>
        <w:t xml:space="preserve"> 3243</w:t>
      </w:r>
      <w:r w:rsidR="00C318E3" w:rsidRPr="00F534F0">
        <w:rPr>
          <w:rFonts w:ascii="Calibri" w:hAnsi="Calibri"/>
          <w:sz w:val="22"/>
          <w:szCs w:val="22"/>
          <w:lang w:val="es-CO" w:eastAsia="es-CO"/>
        </w:rPr>
        <w:t xml:space="preserve"> Superávit por el método de participación patrimonial y</w:t>
      </w:r>
      <w:r w:rsidR="008A7046" w:rsidRPr="00F534F0">
        <w:rPr>
          <w:rFonts w:ascii="Calibri" w:hAnsi="Calibri"/>
          <w:sz w:val="22"/>
          <w:szCs w:val="22"/>
          <w:lang w:val="es-CO" w:eastAsia="es-CO"/>
        </w:rPr>
        <w:t xml:space="preserve"> 3240</w:t>
      </w:r>
      <w:r w:rsidR="00C318E3" w:rsidRPr="00F534F0">
        <w:rPr>
          <w:rFonts w:ascii="Calibri" w:hAnsi="Calibri"/>
          <w:sz w:val="22"/>
          <w:szCs w:val="22"/>
          <w:lang w:val="es-CO" w:eastAsia="es-CO"/>
        </w:rPr>
        <w:t xml:space="preserve"> Superávit por valorización</w:t>
      </w:r>
      <w:r w:rsidR="008A7046" w:rsidRPr="00F534F0">
        <w:rPr>
          <w:rFonts w:ascii="Calibri" w:hAnsi="Calibri"/>
          <w:sz w:val="22"/>
          <w:szCs w:val="22"/>
          <w:lang w:val="es-CO" w:eastAsia="es-CO"/>
        </w:rPr>
        <w:t>,</w:t>
      </w:r>
      <w:r w:rsidR="00C318E3" w:rsidRPr="00F534F0">
        <w:rPr>
          <w:rFonts w:ascii="Calibri" w:hAnsi="Calibri"/>
          <w:sz w:val="22"/>
          <w:szCs w:val="22"/>
          <w:lang w:val="es-CO" w:eastAsia="es-CO"/>
        </w:rPr>
        <w:t xml:space="preserve"> como consecuencia de la reestructuración del grupo</w:t>
      </w:r>
      <w:r w:rsidR="008A7046" w:rsidRPr="00F534F0">
        <w:rPr>
          <w:rFonts w:ascii="Calibri" w:hAnsi="Calibri"/>
          <w:sz w:val="22"/>
          <w:szCs w:val="22"/>
          <w:lang w:val="es-CO" w:eastAsia="es-CO"/>
        </w:rPr>
        <w:t xml:space="preserve"> 12 </w:t>
      </w:r>
      <w:r w:rsidR="00C318E3" w:rsidRPr="00F534F0">
        <w:rPr>
          <w:rFonts w:ascii="Calibri" w:hAnsi="Calibri"/>
          <w:sz w:val="22"/>
          <w:szCs w:val="22"/>
          <w:lang w:val="es-CO" w:eastAsia="es-CO"/>
        </w:rPr>
        <w:t>Inversiones.</w:t>
      </w:r>
      <w:r w:rsidR="00DC3180" w:rsidRPr="00F534F0">
        <w:rPr>
          <w:rFonts w:ascii="Calibri" w:hAnsi="Calibri"/>
          <w:sz w:val="22"/>
          <w:szCs w:val="22"/>
          <w:lang w:val="es-CO" w:eastAsia="es-CO"/>
        </w:rPr>
        <w:t xml:space="preserve"> </w:t>
      </w:r>
      <w:r w:rsidR="00042D4F" w:rsidRPr="00F534F0">
        <w:rPr>
          <w:rFonts w:ascii="Calibri" w:hAnsi="Calibri"/>
          <w:sz w:val="22"/>
          <w:szCs w:val="22"/>
          <w:lang w:val="es-CO" w:eastAsia="es-CO"/>
        </w:rPr>
        <w:t xml:space="preserve">En el año </w:t>
      </w:r>
      <w:r w:rsidR="00DC3180" w:rsidRPr="00F534F0">
        <w:rPr>
          <w:rFonts w:ascii="Calibri" w:hAnsi="Calibri"/>
          <w:sz w:val="22"/>
          <w:szCs w:val="22"/>
          <w:lang w:val="es-CO" w:eastAsia="es-CO"/>
        </w:rPr>
        <w:t xml:space="preserve">2008 se elimina la cuenta </w:t>
      </w:r>
      <w:r w:rsidR="008A7046" w:rsidRPr="00F534F0">
        <w:rPr>
          <w:rFonts w:ascii="Calibri" w:hAnsi="Calibri"/>
          <w:sz w:val="22"/>
          <w:szCs w:val="22"/>
          <w:lang w:val="es-CO" w:eastAsia="es-CO"/>
        </w:rPr>
        <w:t xml:space="preserve">3209 </w:t>
      </w:r>
      <w:r w:rsidR="00DC3180" w:rsidRPr="00F534F0">
        <w:rPr>
          <w:rFonts w:ascii="Calibri" w:hAnsi="Calibri"/>
          <w:sz w:val="22"/>
          <w:szCs w:val="22"/>
          <w:lang w:val="es-CO" w:eastAsia="es-CO"/>
        </w:rPr>
        <w:t>Aporte en especie y la subcuenta</w:t>
      </w:r>
      <w:r w:rsidR="008A7046" w:rsidRPr="00F534F0">
        <w:rPr>
          <w:rFonts w:ascii="Calibri" w:hAnsi="Calibri"/>
          <w:sz w:val="22"/>
          <w:szCs w:val="22"/>
          <w:lang w:val="es-CO" w:eastAsia="es-CO"/>
        </w:rPr>
        <w:t xml:space="preserve"> 320901</w:t>
      </w:r>
      <w:r w:rsidR="00DC3180" w:rsidRPr="00F534F0">
        <w:rPr>
          <w:rFonts w:ascii="Calibri" w:hAnsi="Calibri"/>
          <w:sz w:val="22"/>
          <w:szCs w:val="22"/>
          <w:lang w:val="es-CO" w:eastAsia="es-CO"/>
        </w:rPr>
        <w:t xml:space="preserve"> Aporte de </w:t>
      </w:r>
      <w:r w:rsidR="008A7046" w:rsidRPr="00F534F0">
        <w:rPr>
          <w:rFonts w:ascii="Calibri" w:hAnsi="Calibri"/>
          <w:sz w:val="22"/>
          <w:szCs w:val="22"/>
          <w:lang w:val="es-CO" w:eastAsia="es-CO"/>
        </w:rPr>
        <w:t>h</w:t>
      </w:r>
      <w:r w:rsidR="00DC3180" w:rsidRPr="00F534F0">
        <w:rPr>
          <w:rFonts w:ascii="Calibri" w:hAnsi="Calibri"/>
          <w:sz w:val="22"/>
          <w:szCs w:val="22"/>
          <w:lang w:val="es-CO" w:eastAsia="es-CO"/>
        </w:rPr>
        <w:t>idrocarburos.</w:t>
      </w:r>
      <w:r w:rsidR="003016DD" w:rsidRPr="00F534F0">
        <w:rPr>
          <w:rFonts w:ascii="Calibri" w:hAnsi="Calibri"/>
          <w:sz w:val="22"/>
          <w:szCs w:val="22"/>
          <w:lang w:val="es-CO" w:eastAsia="es-CO"/>
        </w:rPr>
        <w:t xml:space="preserve"> Mediante la resolución 634 de 2014, se crearon las siguientes cuentas y subcuentas: 3207 Capital de los fondos de reservas pensiones, 320701 Capital de los fondos de reservas pensiones, 320702 Recaudos de cotizaciones en proceso, 320703 Cotizaciones por devolver a terceros, 320704 Efecto por el cambio de regulación contable.</w:t>
      </w:r>
    </w:p>
    <w:p w:rsidR="003016DD" w:rsidRPr="00C318E3" w:rsidRDefault="003016DD" w:rsidP="003016DD">
      <w:pPr>
        <w:ind w:left="720"/>
        <w:jc w:val="both"/>
        <w:rPr>
          <w:rFonts w:ascii="Calibri" w:hAnsi="Calibri"/>
          <w:sz w:val="22"/>
          <w:szCs w:val="22"/>
          <w:lang w:val="es-CO" w:eastAsia="es-CO"/>
        </w:rPr>
      </w:pPr>
    </w:p>
    <w:sectPr w:rsidR="003016DD" w:rsidRPr="00C318E3" w:rsidSect="00B934F8">
      <w:footerReference w:type="even" r:id="rId10"/>
      <w:footerReference w:type="default" r:id="rId11"/>
      <w:pgSz w:w="12242" w:h="15842" w:code="1"/>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4B" w:rsidRDefault="00DA244B">
      <w:r>
        <w:separator/>
      </w:r>
    </w:p>
  </w:endnote>
  <w:endnote w:type="continuationSeparator" w:id="0">
    <w:p w:rsidR="00DA244B" w:rsidRDefault="00DA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FB" w:rsidRDefault="001C6E23" w:rsidP="00EF70C4">
    <w:pPr>
      <w:pStyle w:val="Piedepgina"/>
      <w:framePr w:wrap="around" w:vAnchor="text" w:hAnchor="margin" w:xAlign="right" w:y="1"/>
      <w:rPr>
        <w:rStyle w:val="Nmerodepgina"/>
      </w:rPr>
    </w:pPr>
    <w:r>
      <w:rPr>
        <w:rStyle w:val="Nmerodepgina"/>
      </w:rPr>
      <w:fldChar w:fldCharType="begin"/>
    </w:r>
    <w:r w:rsidR="00FA61FB">
      <w:rPr>
        <w:rStyle w:val="Nmerodepgina"/>
      </w:rPr>
      <w:instrText xml:space="preserve">PAGE  </w:instrText>
    </w:r>
    <w:r>
      <w:rPr>
        <w:rStyle w:val="Nmerodepgina"/>
      </w:rPr>
      <w:fldChar w:fldCharType="end"/>
    </w:r>
  </w:p>
  <w:p w:rsidR="00FA61FB" w:rsidRDefault="00FA61FB" w:rsidP="007A725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FB" w:rsidRPr="007A725E" w:rsidRDefault="001C6E23" w:rsidP="00EF70C4">
    <w:pPr>
      <w:pStyle w:val="Piedepgina"/>
      <w:framePr w:wrap="around" w:vAnchor="text" w:hAnchor="margin" w:xAlign="right" w:y="1"/>
      <w:rPr>
        <w:rStyle w:val="Nmerodepgina"/>
        <w:rFonts w:ascii="Arial" w:hAnsi="Arial" w:cs="Arial"/>
        <w:b/>
        <w:sz w:val="22"/>
        <w:szCs w:val="22"/>
      </w:rPr>
    </w:pPr>
    <w:r w:rsidRPr="007A725E">
      <w:rPr>
        <w:rStyle w:val="Nmerodepgina"/>
        <w:rFonts w:ascii="Arial" w:hAnsi="Arial" w:cs="Arial"/>
        <w:b/>
        <w:sz w:val="22"/>
        <w:szCs w:val="22"/>
      </w:rPr>
      <w:fldChar w:fldCharType="begin"/>
    </w:r>
    <w:r w:rsidR="00FA61FB" w:rsidRPr="007A725E">
      <w:rPr>
        <w:rStyle w:val="Nmerodepgina"/>
        <w:rFonts w:ascii="Arial" w:hAnsi="Arial" w:cs="Arial"/>
        <w:b/>
        <w:sz w:val="22"/>
        <w:szCs w:val="22"/>
      </w:rPr>
      <w:instrText xml:space="preserve">PAGE  </w:instrText>
    </w:r>
    <w:r w:rsidRPr="007A725E">
      <w:rPr>
        <w:rStyle w:val="Nmerodepgina"/>
        <w:rFonts w:ascii="Arial" w:hAnsi="Arial" w:cs="Arial"/>
        <w:b/>
        <w:sz w:val="22"/>
        <w:szCs w:val="22"/>
      </w:rPr>
      <w:fldChar w:fldCharType="separate"/>
    </w:r>
    <w:r w:rsidR="00332B67">
      <w:rPr>
        <w:rStyle w:val="Nmerodepgina"/>
        <w:rFonts w:ascii="Arial" w:hAnsi="Arial" w:cs="Arial"/>
        <w:b/>
        <w:noProof/>
        <w:sz w:val="22"/>
        <w:szCs w:val="22"/>
      </w:rPr>
      <w:t>8</w:t>
    </w:r>
    <w:r w:rsidRPr="007A725E">
      <w:rPr>
        <w:rStyle w:val="Nmerodepgina"/>
        <w:rFonts w:ascii="Arial" w:hAnsi="Arial" w:cs="Arial"/>
        <w:b/>
        <w:sz w:val="22"/>
        <w:szCs w:val="22"/>
      </w:rPr>
      <w:fldChar w:fldCharType="end"/>
    </w:r>
  </w:p>
  <w:p w:rsidR="00FA61FB" w:rsidRDefault="00FA61FB" w:rsidP="007A725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4B" w:rsidRDefault="00DA244B">
      <w:r>
        <w:separator/>
      </w:r>
    </w:p>
  </w:footnote>
  <w:footnote w:type="continuationSeparator" w:id="0">
    <w:p w:rsidR="00DA244B" w:rsidRDefault="00DA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727"/>
    <w:multiLevelType w:val="hybridMultilevel"/>
    <w:tmpl w:val="4064C5B0"/>
    <w:lvl w:ilvl="0" w:tplc="DB06096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1E55AC"/>
    <w:multiLevelType w:val="hybridMultilevel"/>
    <w:tmpl w:val="E70EC108"/>
    <w:lvl w:ilvl="0" w:tplc="0E86938C">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AB64CA"/>
    <w:multiLevelType w:val="hybridMultilevel"/>
    <w:tmpl w:val="B066D0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D97162A"/>
    <w:multiLevelType w:val="multilevel"/>
    <w:tmpl w:val="F18067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5C2B13"/>
    <w:multiLevelType w:val="hybridMultilevel"/>
    <w:tmpl w:val="67BC03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D419E7"/>
    <w:multiLevelType w:val="hybridMultilevel"/>
    <w:tmpl w:val="BB1838AE"/>
    <w:lvl w:ilvl="0" w:tplc="F1BC53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F93A84"/>
    <w:multiLevelType w:val="hybridMultilevel"/>
    <w:tmpl w:val="43741E64"/>
    <w:lvl w:ilvl="0" w:tplc="50068B22">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AD578A2"/>
    <w:multiLevelType w:val="multilevel"/>
    <w:tmpl w:val="8D7403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C881C23"/>
    <w:multiLevelType w:val="hybridMultilevel"/>
    <w:tmpl w:val="9FB466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D1E0F64"/>
    <w:multiLevelType w:val="hybridMultilevel"/>
    <w:tmpl w:val="747E8E20"/>
    <w:lvl w:ilvl="0" w:tplc="0E86938C">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107596"/>
    <w:multiLevelType w:val="hybridMultilevel"/>
    <w:tmpl w:val="BBD4413E"/>
    <w:lvl w:ilvl="0" w:tplc="5D1EC1D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A4537EE"/>
    <w:multiLevelType w:val="hybridMultilevel"/>
    <w:tmpl w:val="4A7AB8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B8B11AA"/>
    <w:multiLevelType w:val="multilevel"/>
    <w:tmpl w:val="75A84426"/>
    <w:lvl w:ilvl="0">
      <w:start w:val="1"/>
      <w:numFmt w:val="bullet"/>
      <w:lvlText w:val="-"/>
      <w:lvlJc w:val="left"/>
      <w:pPr>
        <w:tabs>
          <w:tab w:val="num" w:pos="900"/>
        </w:tabs>
        <w:ind w:left="900" w:hanging="360"/>
      </w:pPr>
      <w:rPr>
        <w:rFonts w:ascii="TimesNewRomanPSMT" w:eastAsia="Algerian" w:hAnsi="TimesNewRomanPSMT" w:cs="TimesNewRomanPSMT" w:hint="default"/>
        <w:b w:val="0"/>
        <w:sz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4985437B"/>
    <w:multiLevelType w:val="hybridMultilevel"/>
    <w:tmpl w:val="F18067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C034989"/>
    <w:multiLevelType w:val="hybridMultilevel"/>
    <w:tmpl w:val="7AA8223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55F55567"/>
    <w:multiLevelType w:val="hybridMultilevel"/>
    <w:tmpl w:val="49FA56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55FD0A9A"/>
    <w:multiLevelType w:val="hybridMultilevel"/>
    <w:tmpl w:val="B310DDCE"/>
    <w:lvl w:ilvl="0" w:tplc="0C0A0005">
      <w:start w:val="1"/>
      <w:numFmt w:val="bullet"/>
      <w:lvlText w:val=""/>
      <w:lvlJc w:val="left"/>
      <w:pPr>
        <w:tabs>
          <w:tab w:val="num" w:pos="900"/>
        </w:tabs>
        <w:ind w:left="900" w:hanging="360"/>
      </w:pPr>
      <w:rPr>
        <w:rFonts w:ascii="Wingdings" w:hAnsi="Wingdings" w:hint="default"/>
        <w:b w:val="0"/>
        <w:sz w:val="20"/>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7">
    <w:nsid w:val="5F1F736F"/>
    <w:multiLevelType w:val="hybridMultilevel"/>
    <w:tmpl w:val="75A84426"/>
    <w:lvl w:ilvl="0" w:tplc="3CC60438">
      <w:start w:val="1"/>
      <w:numFmt w:val="bullet"/>
      <w:lvlText w:val="-"/>
      <w:lvlJc w:val="left"/>
      <w:pPr>
        <w:tabs>
          <w:tab w:val="num" w:pos="900"/>
        </w:tabs>
        <w:ind w:left="900" w:hanging="360"/>
      </w:pPr>
      <w:rPr>
        <w:rFonts w:ascii="TimesNewRomanPSMT" w:eastAsia="Algerian" w:hAnsi="TimesNewRomanPSMT" w:cs="TimesNewRomanPSMT" w:hint="default"/>
        <w:b w:val="0"/>
        <w:sz w:val="20"/>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8">
    <w:nsid w:val="5F4C2E93"/>
    <w:multiLevelType w:val="hybridMultilevel"/>
    <w:tmpl w:val="EB1ADF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1C1727F"/>
    <w:multiLevelType w:val="hybridMultilevel"/>
    <w:tmpl w:val="77BAB81E"/>
    <w:lvl w:ilvl="0" w:tplc="50068B22">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4735308"/>
    <w:multiLevelType w:val="hybridMultilevel"/>
    <w:tmpl w:val="43DE1672"/>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66470ED0"/>
    <w:multiLevelType w:val="hybridMultilevel"/>
    <w:tmpl w:val="8DA2F094"/>
    <w:lvl w:ilvl="0" w:tplc="289C507A">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1848BA"/>
    <w:multiLevelType w:val="hybridMultilevel"/>
    <w:tmpl w:val="ADCAA32E"/>
    <w:lvl w:ilvl="0" w:tplc="8DFA23F4">
      <w:start w:val="1"/>
      <w:numFmt w:val="bullet"/>
      <w:lvlText w:val=""/>
      <w:lvlJc w:val="left"/>
      <w:pPr>
        <w:tabs>
          <w:tab w:val="num" w:pos="1068"/>
        </w:tabs>
        <w:ind w:left="1068" w:hanging="360"/>
      </w:pPr>
      <w:rPr>
        <w:rFonts w:ascii="Symbol" w:hAnsi="Symbol" w:hint="default"/>
        <w:sz w:val="16"/>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nsid w:val="6BB71351"/>
    <w:multiLevelType w:val="hybridMultilevel"/>
    <w:tmpl w:val="E15053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DB7615F"/>
    <w:multiLevelType w:val="hybridMultilevel"/>
    <w:tmpl w:val="152CB4E2"/>
    <w:lvl w:ilvl="0" w:tplc="41C481B2">
      <w:start w:val="5"/>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7056688C"/>
    <w:multiLevelType w:val="hybridMultilevel"/>
    <w:tmpl w:val="62BE86B2"/>
    <w:lvl w:ilvl="0" w:tplc="50068B22">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20"/>
  </w:num>
  <w:num w:numId="4">
    <w:abstractNumId w:val="14"/>
  </w:num>
  <w:num w:numId="5">
    <w:abstractNumId w:val="7"/>
  </w:num>
  <w:num w:numId="6">
    <w:abstractNumId w:val="17"/>
  </w:num>
  <w:num w:numId="7">
    <w:abstractNumId w:val="12"/>
  </w:num>
  <w:num w:numId="8">
    <w:abstractNumId w:val="16"/>
  </w:num>
  <w:num w:numId="9">
    <w:abstractNumId w:val="13"/>
  </w:num>
  <w:num w:numId="10">
    <w:abstractNumId w:val="0"/>
  </w:num>
  <w:num w:numId="11">
    <w:abstractNumId w:val="4"/>
  </w:num>
  <w:num w:numId="12">
    <w:abstractNumId w:val="3"/>
  </w:num>
  <w:num w:numId="13">
    <w:abstractNumId w:val="24"/>
  </w:num>
  <w:num w:numId="14">
    <w:abstractNumId w:val="11"/>
  </w:num>
  <w:num w:numId="15">
    <w:abstractNumId w:val="23"/>
  </w:num>
  <w:num w:numId="16">
    <w:abstractNumId w:val="6"/>
  </w:num>
  <w:num w:numId="17">
    <w:abstractNumId w:val="19"/>
  </w:num>
  <w:num w:numId="18">
    <w:abstractNumId w:val="25"/>
  </w:num>
  <w:num w:numId="19">
    <w:abstractNumId w:val="10"/>
  </w:num>
  <w:num w:numId="20">
    <w:abstractNumId w:val="2"/>
  </w:num>
  <w:num w:numId="21">
    <w:abstractNumId w:val="22"/>
  </w:num>
  <w:num w:numId="22">
    <w:abstractNumId w:val="9"/>
  </w:num>
  <w:num w:numId="23">
    <w:abstractNumId w:val="15"/>
  </w:num>
  <w:num w:numId="24">
    <w:abstractNumId w:val="5"/>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1C"/>
    <w:rsid w:val="000035B4"/>
    <w:rsid w:val="00005B14"/>
    <w:rsid w:val="00007156"/>
    <w:rsid w:val="0003501B"/>
    <w:rsid w:val="00037DF3"/>
    <w:rsid w:val="00042D4F"/>
    <w:rsid w:val="00044DD9"/>
    <w:rsid w:val="00045D64"/>
    <w:rsid w:val="00052DE7"/>
    <w:rsid w:val="000579B5"/>
    <w:rsid w:val="000634E6"/>
    <w:rsid w:val="0006383B"/>
    <w:rsid w:val="0006435A"/>
    <w:rsid w:val="00064C9F"/>
    <w:rsid w:val="000822C3"/>
    <w:rsid w:val="000826D0"/>
    <w:rsid w:val="00086BB4"/>
    <w:rsid w:val="000A5C36"/>
    <w:rsid w:val="000B5DBF"/>
    <w:rsid w:val="000C7662"/>
    <w:rsid w:val="00102199"/>
    <w:rsid w:val="0010476F"/>
    <w:rsid w:val="001102CA"/>
    <w:rsid w:val="001138F1"/>
    <w:rsid w:val="00120A76"/>
    <w:rsid w:val="00123BB3"/>
    <w:rsid w:val="00137A1B"/>
    <w:rsid w:val="00145818"/>
    <w:rsid w:val="00155D26"/>
    <w:rsid w:val="00157E83"/>
    <w:rsid w:val="0016568A"/>
    <w:rsid w:val="0017072E"/>
    <w:rsid w:val="00183051"/>
    <w:rsid w:val="001B2326"/>
    <w:rsid w:val="001C6E23"/>
    <w:rsid w:val="001C742F"/>
    <w:rsid w:val="001D4B79"/>
    <w:rsid w:val="001F10CE"/>
    <w:rsid w:val="0020689D"/>
    <w:rsid w:val="00213398"/>
    <w:rsid w:val="00213D9D"/>
    <w:rsid w:val="0024291F"/>
    <w:rsid w:val="002446C6"/>
    <w:rsid w:val="0024480A"/>
    <w:rsid w:val="00255821"/>
    <w:rsid w:val="0026473A"/>
    <w:rsid w:val="00266F8B"/>
    <w:rsid w:val="0027157A"/>
    <w:rsid w:val="002725E5"/>
    <w:rsid w:val="00272DE8"/>
    <w:rsid w:val="0027483E"/>
    <w:rsid w:val="002925F5"/>
    <w:rsid w:val="00292C27"/>
    <w:rsid w:val="00292E0B"/>
    <w:rsid w:val="00295B0E"/>
    <w:rsid w:val="002A69BB"/>
    <w:rsid w:val="002C5207"/>
    <w:rsid w:val="002D3A1C"/>
    <w:rsid w:val="002D6384"/>
    <w:rsid w:val="002D7F3D"/>
    <w:rsid w:val="002E42FB"/>
    <w:rsid w:val="002F0566"/>
    <w:rsid w:val="002F7D97"/>
    <w:rsid w:val="003016DD"/>
    <w:rsid w:val="00302542"/>
    <w:rsid w:val="003056D2"/>
    <w:rsid w:val="003159CC"/>
    <w:rsid w:val="00315AFE"/>
    <w:rsid w:val="00317E52"/>
    <w:rsid w:val="00322791"/>
    <w:rsid w:val="00326568"/>
    <w:rsid w:val="00332B67"/>
    <w:rsid w:val="00335C46"/>
    <w:rsid w:val="003553B1"/>
    <w:rsid w:val="00357903"/>
    <w:rsid w:val="0036068D"/>
    <w:rsid w:val="003740B1"/>
    <w:rsid w:val="00391603"/>
    <w:rsid w:val="00396658"/>
    <w:rsid w:val="00397564"/>
    <w:rsid w:val="00397BFB"/>
    <w:rsid w:val="003A219D"/>
    <w:rsid w:val="003B07EE"/>
    <w:rsid w:val="003B573F"/>
    <w:rsid w:val="003C4EB5"/>
    <w:rsid w:val="003C5403"/>
    <w:rsid w:val="003C6E6B"/>
    <w:rsid w:val="003D2AE3"/>
    <w:rsid w:val="003E5FA6"/>
    <w:rsid w:val="00400A6E"/>
    <w:rsid w:val="004025E1"/>
    <w:rsid w:val="00423CFD"/>
    <w:rsid w:val="00431896"/>
    <w:rsid w:val="0043238C"/>
    <w:rsid w:val="00434704"/>
    <w:rsid w:val="00435D13"/>
    <w:rsid w:val="0044782E"/>
    <w:rsid w:val="00452D94"/>
    <w:rsid w:val="004543DF"/>
    <w:rsid w:val="004569D0"/>
    <w:rsid w:val="00460FB6"/>
    <w:rsid w:val="0046192F"/>
    <w:rsid w:val="00463F0E"/>
    <w:rsid w:val="00464870"/>
    <w:rsid w:val="004706D0"/>
    <w:rsid w:val="00493BC2"/>
    <w:rsid w:val="00494C07"/>
    <w:rsid w:val="00497ED1"/>
    <w:rsid w:val="004B0A98"/>
    <w:rsid w:val="004B3366"/>
    <w:rsid w:val="004B67EF"/>
    <w:rsid w:val="004C44F7"/>
    <w:rsid w:val="004D5DF6"/>
    <w:rsid w:val="004E00FF"/>
    <w:rsid w:val="004F5124"/>
    <w:rsid w:val="004F5F4C"/>
    <w:rsid w:val="00510C1C"/>
    <w:rsid w:val="00511371"/>
    <w:rsid w:val="00514F62"/>
    <w:rsid w:val="00516814"/>
    <w:rsid w:val="00524E2D"/>
    <w:rsid w:val="0053699B"/>
    <w:rsid w:val="00542659"/>
    <w:rsid w:val="0056550D"/>
    <w:rsid w:val="00592C00"/>
    <w:rsid w:val="00592EC3"/>
    <w:rsid w:val="005A03E7"/>
    <w:rsid w:val="005C113D"/>
    <w:rsid w:val="005C7001"/>
    <w:rsid w:val="005D231A"/>
    <w:rsid w:val="005D69C8"/>
    <w:rsid w:val="005E19BC"/>
    <w:rsid w:val="005E723D"/>
    <w:rsid w:val="006209F1"/>
    <w:rsid w:val="00636280"/>
    <w:rsid w:val="00643227"/>
    <w:rsid w:val="00645EBD"/>
    <w:rsid w:val="00650626"/>
    <w:rsid w:val="00654C9D"/>
    <w:rsid w:val="00656953"/>
    <w:rsid w:val="00656B59"/>
    <w:rsid w:val="00662396"/>
    <w:rsid w:val="00664334"/>
    <w:rsid w:val="00674212"/>
    <w:rsid w:val="0069742A"/>
    <w:rsid w:val="006A209C"/>
    <w:rsid w:val="006B39F9"/>
    <w:rsid w:val="006B4967"/>
    <w:rsid w:val="006B5BC4"/>
    <w:rsid w:val="006B6CB8"/>
    <w:rsid w:val="006D300C"/>
    <w:rsid w:val="006D4382"/>
    <w:rsid w:val="006D51DB"/>
    <w:rsid w:val="006D64C3"/>
    <w:rsid w:val="006E317E"/>
    <w:rsid w:val="006E58AC"/>
    <w:rsid w:val="006E6280"/>
    <w:rsid w:val="006E7EA4"/>
    <w:rsid w:val="006F1FBF"/>
    <w:rsid w:val="006F6EEE"/>
    <w:rsid w:val="0070194D"/>
    <w:rsid w:val="0070606F"/>
    <w:rsid w:val="0071212A"/>
    <w:rsid w:val="00712664"/>
    <w:rsid w:val="00712E3C"/>
    <w:rsid w:val="00715051"/>
    <w:rsid w:val="00722486"/>
    <w:rsid w:val="007245F1"/>
    <w:rsid w:val="00732E6D"/>
    <w:rsid w:val="007342A3"/>
    <w:rsid w:val="00740FFD"/>
    <w:rsid w:val="00762052"/>
    <w:rsid w:val="00775896"/>
    <w:rsid w:val="00781F69"/>
    <w:rsid w:val="00790048"/>
    <w:rsid w:val="00796B04"/>
    <w:rsid w:val="007A0379"/>
    <w:rsid w:val="007A4D52"/>
    <w:rsid w:val="007A617B"/>
    <w:rsid w:val="007A725E"/>
    <w:rsid w:val="007B1C30"/>
    <w:rsid w:val="007B2148"/>
    <w:rsid w:val="007D35DD"/>
    <w:rsid w:val="007D4B94"/>
    <w:rsid w:val="007D587F"/>
    <w:rsid w:val="007E115E"/>
    <w:rsid w:val="007F2050"/>
    <w:rsid w:val="007F2596"/>
    <w:rsid w:val="007F74CA"/>
    <w:rsid w:val="007F7A8B"/>
    <w:rsid w:val="007F7FBA"/>
    <w:rsid w:val="00811846"/>
    <w:rsid w:val="008170E4"/>
    <w:rsid w:val="0082240A"/>
    <w:rsid w:val="00824D51"/>
    <w:rsid w:val="00835F3F"/>
    <w:rsid w:val="008368BE"/>
    <w:rsid w:val="0083733B"/>
    <w:rsid w:val="008374FB"/>
    <w:rsid w:val="00855417"/>
    <w:rsid w:val="00857135"/>
    <w:rsid w:val="00861ED8"/>
    <w:rsid w:val="0086599C"/>
    <w:rsid w:val="00876D8D"/>
    <w:rsid w:val="008865D6"/>
    <w:rsid w:val="00894A56"/>
    <w:rsid w:val="00894B01"/>
    <w:rsid w:val="00894F37"/>
    <w:rsid w:val="008A173B"/>
    <w:rsid w:val="008A5B89"/>
    <w:rsid w:val="008A7046"/>
    <w:rsid w:val="008B7EBC"/>
    <w:rsid w:val="008C01A9"/>
    <w:rsid w:val="008D2B31"/>
    <w:rsid w:val="008F0CB5"/>
    <w:rsid w:val="00902E39"/>
    <w:rsid w:val="009113CD"/>
    <w:rsid w:val="0091342D"/>
    <w:rsid w:val="00917FF5"/>
    <w:rsid w:val="00934FB9"/>
    <w:rsid w:val="0094146B"/>
    <w:rsid w:val="00941C15"/>
    <w:rsid w:val="00950180"/>
    <w:rsid w:val="00953F43"/>
    <w:rsid w:val="00954D24"/>
    <w:rsid w:val="00960F3A"/>
    <w:rsid w:val="00971AC4"/>
    <w:rsid w:val="00975BB1"/>
    <w:rsid w:val="009822DA"/>
    <w:rsid w:val="009841DE"/>
    <w:rsid w:val="00987288"/>
    <w:rsid w:val="009B190F"/>
    <w:rsid w:val="009B1BB9"/>
    <w:rsid w:val="009B6121"/>
    <w:rsid w:val="009E08DC"/>
    <w:rsid w:val="009E25E9"/>
    <w:rsid w:val="00A00C2C"/>
    <w:rsid w:val="00A077A6"/>
    <w:rsid w:val="00A10E75"/>
    <w:rsid w:val="00A1394B"/>
    <w:rsid w:val="00A16B70"/>
    <w:rsid w:val="00A24487"/>
    <w:rsid w:val="00A24F19"/>
    <w:rsid w:val="00A254BA"/>
    <w:rsid w:val="00A25C22"/>
    <w:rsid w:val="00A27BAC"/>
    <w:rsid w:val="00A34388"/>
    <w:rsid w:val="00A45EE3"/>
    <w:rsid w:val="00A53DF2"/>
    <w:rsid w:val="00A545A4"/>
    <w:rsid w:val="00A650FE"/>
    <w:rsid w:val="00A81673"/>
    <w:rsid w:val="00A8768A"/>
    <w:rsid w:val="00A923CB"/>
    <w:rsid w:val="00A95E53"/>
    <w:rsid w:val="00AA0D84"/>
    <w:rsid w:val="00AA5C68"/>
    <w:rsid w:val="00AA5F7E"/>
    <w:rsid w:val="00AB2BC8"/>
    <w:rsid w:val="00AD2C04"/>
    <w:rsid w:val="00AD4493"/>
    <w:rsid w:val="00AE58B2"/>
    <w:rsid w:val="00AE6BC7"/>
    <w:rsid w:val="00AF60F8"/>
    <w:rsid w:val="00B03B2A"/>
    <w:rsid w:val="00B15478"/>
    <w:rsid w:val="00B24588"/>
    <w:rsid w:val="00B2735B"/>
    <w:rsid w:val="00B330BB"/>
    <w:rsid w:val="00B35986"/>
    <w:rsid w:val="00B37800"/>
    <w:rsid w:val="00B4049B"/>
    <w:rsid w:val="00B46F9D"/>
    <w:rsid w:val="00B61354"/>
    <w:rsid w:val="00B708F6"/>
    <w:rsid w:val="00B72656"/>
    <w:rsid w:val="00B7637B"/>
    <w:rsid w:val="00B92A5D"/>
    <w:rsid w:val="00B934F8"/>
    <w:rsid w:val="00B956AF"/>
    <w:rsid w:val="00B97CBB"/>
    <w:rsid w:val="00BA1396"/>
    <w:rsid w:val="00BA54B3"/>
    <w:rsid w:val="00BA625A"/>
    <w:rsid w:val="00BB66B1"/>
    <w:rsid w:val="00BD2083"/>
    <w:rsid w:val="00BD3F65"/>
    <w:rsid w:val="00BE43DA"/>
    <w:rsid w:val="00BE6A93"/>
    <w:rsid w:val="00BF1359"/>
    <w:rsid w:val="00BF58C6"/>
    <w:rsid w:val="00C006B6"/>
    <w:rsid w:val="00C21844"/>
    <w:rsid w:val="00C239A8"/>
    <w:rsid w:val="00C318E3"/>
    <w:rsid w:val="00C33478"/>
    <w:rsid w:val="00C35C0D"/>
    <w:rsid w:val="00C40EC5"/>
    <w:rsid w:val="00C41737"/>
    <w:rsid w:val="00C43D20"/>
    <w:rsid w:val="00C470E9"/>
    <w:rsid w:val="00C61E9C"/>
    <w:rsid w:val="00C64FCA"/>
    <w:rsid w:val="00C720ED"/>
    <w:rsid w:val="00C7609D"/>
    <w:rsid w:val="00C8074E"/>
    <w:rsid w:val="00C8088E"/>
    <w:rsid w:val="00C80A68"/>
    <w:rsid w:val="00C90791"/>
    <w:rsid w:val="00C915FA"/>
    <w:rsid w:val="00C97277"/>
    <w:rsid w:val="00CB56D3"/>
    <w:rsid w:val="00CB6A1C"/>
    <w:rsid w:val="00CC600C"/>
    <w:rsid w:val="00CF7BCE"/>
    <w:rsid w:val="00D03EE5"/>
    <w:rsid w:val="00D06727"/>
    <w:rsid w:val="00D06BB3"/>
    <w:rsid w:val="00D13B2F"/>
    <w:rsid w:val="00D20FE7"/>
    <w:rsid w:val="00D22D9B"/>
    <w:rsid w:val="00D349BE"/>
    <w:rsid w:val="00D371B4"/>
    <w:rsid w:val="00D405F9"/>
    <w:rsid w:val="00D42573"/>
    <w:rsid w:val="00D42858"/>
    <w:rsid w:val="00D43D44"/>
    <w:rsid w:val="00D51736"/>
    <w:rsid w:val="00D567CB"/>
    <w:rsid w:val="00D6244C"/>
    <w:rsid w:val="00D737C1"/>
    <w:rsid w:val="00D740E3"/>
    <w:rsid w:val="00D771C5"/>
    <w:rsid w:val="00D86164"/>
    <w:rsid w:val="00D87BBB"/>
    <w:rsid w:val="00DA244B"/>
    <w:rsid w:val="00DA40E8"/>
    <w:rsid w:val="00DB43AF"/>
    <w:rsid w:val="00DB7398"/>
    <w:rsid w:val="00DC1C49"/>
    <w:rsid w:val="00DC3180"/>
    <w:rsid w:val="00DC4604"/>
    <w:rsid w:val="00DD4FE7"/>
    <w:rsid w:val="00DD5093"/>
    <w:rsid w:val="00DD5296"/>
    <w:rsid w:val="00DD7C55"/>
    <w:rsid w:val="00DF3919"/>
    <w:rsid w:val="00DF6DBF"/>
    <w:rsid w:val="00E16CE4"/>
    <w:rsid w:val="00E32578"/>
    <w:rsid w:val="00E411D5"/>
    <w:rsid w:val="00E460A2"/>
    <w:rsid w:val="00E50E4E"/>
    <w:rsid w:val="00E5404A"/>
    <w:rsid w:val="00E61129"/>
    <w:rsid w:val="00E64907"/>
    <w:rsid w:val="00E671CF"/>
    <w:rsid w:val="00E7259C"/>
    <w:rsid w:val="00E73B0F"/>
    <w:rsid w:val="00E77104"/>
    <w:rsid w:val="00E80740"/>
    <w:rsid w:val="00E82477"/>
    <w:rsid w:val="00E848E7"/>
    <w:rsid w:val="00E86A35"/>
    <w:rsid w:val="00EA230B"/>
    <w:rsid w:val="00EA6DE6"/>
    <w:rsid w:val="00EB23E9"/>
    <w:rsid w:val="00EB4B25"/>
    <w:rsid w:val="00EB5C7C"/>
    <w:rsid w:val="00EB6D5C"/>
    <w:rsid w:val="00EE6F84"/>
    <w:rsid w:val="00EF066A"/>
    <w:rsid w:val="00EF58B6"/>
    <w:rsid w:val="00EF70C4"/>
    <w:rsid w:val="00EF793B"/>
    <w:rsid w:val="00F06DAE"/>
    <w:rsid w:val="00F11C26"/>
    <w:rsid w:val="00F170DA"/>
    <w:rsid w:val="00F21485"/>
    <w:rsid w:val="00F22009"/>
    <w:rsid w:val="00F24C70"/>
    <w:rsid w:val="00F316DF"/>
    <w:rsid w:val="00F321D9"/>
    <w:rsid w:val="00F3261E"/>
    <w:rsid w:val="00F33F93"/>
    <w:rsid w:val="00F534F0"/>
    <w:rsid w:val="00F60656"/>
    <w:rsid w:val="00F63798"/>
    <w:rsid w:val="00F74210"/>
    <w:rsid w:val="00F83910"/>
    <w:rsid w:val="00F8502A"/>
    <w:rsid w:val="00F90116"/>
    <w:rsid w:val="00F9439A"/>
    <w:rsid w:val="00FA61FB"/>
    <w:rsid w:val="00FA6D14"/>
    <w:rsid w:val="00FA7730"/>
    <w:rsid w:val="00FC3AAE"/>
    <w:rsid w:val="00FF07DF"/>
    <w:rsid w:val="00FF31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1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7DF"/>
    <w:pPr>
      <w:spacing w:after="200" w:line="276" w:lineRule="auto"/>
      <w:ind w:left="720"/>
      <w:contextualSpacing/>
    </w:pPr>
    <w:rPr>
      <w:rFonts w:ascii="Calibri" w:hAnsi="Calibri"/>
      <w:sz w:val="22"/>
      <w:szCs w:val="22"/>
      <w:lang w:val="es-CO" w:eastAsia="es-CO"/>
    </w:rPr>
  </w:style>
  <w:style w:type="paragraph" w:customStyle="1" w:styleId="Sinespaciado1">
    <w:name w:val="Sin espaciado1"/>
    <w:rsid w:val="007A725E"/>
    <w:rPr>
      <w:rFonts w:ascii="Calibri" w:hAnsi="Calibri"/>
      <w:sz w:val="22"/>
      <w:szCs w:val="22"/>
      <w:lang w:val="es-ES" w:eastAsia="en-US"/>
    </w:rPr>
  </w:style>
  <w:style w:type="paragraph" w:styleId="Piedepgina">
    <w:name w:val="footer"/>
    <w:basedOn w:val="Normal"/>
    <w:link w:val="PiedepginaCar"/>
    <w:rsid w:val="007A725E"/>
    <w:pPr>
      <w:tabs>
        <w:tab w:val="center" w:pos="4252"/>
        <w:tab w:val="right" w:pos="8504"/>
      </w:tabs>
    </w:pPr>
  </w:style>
  <w:style w:type="character" w:styleId="Nmerodepgina">
    <w:name w:val="page number"/>
    <w:basedOn w:val="Fuentedeprrafopredeter"/>
    <w:rsid w:val="007A725E"/>
  </w:style>
  <w:style w:type="paragraph" w:styleId="Encabezado">
    <w:name w:val="header"/>
    <w:basedOn w:val="Normal"/>
    <w:rsid w:val="007A725E"/>
    <w:pPr>
      <w:tabs>
        <w:tab w:val="center" w:pos="4252"/>
        <w:tab w:val="right" w:pos="8504"/>
      </w:tabs>
    </w:pPr>
  </w:style>
  <w:style w:type="paragraph" w:customStyle="1" w:styleId="NoSpacing1">
    <w:name w:val="No Spacing1"/>
    <w:rsid w:val="00B934F8"/>
    <w:rPr>
      <w:rFonts w:ascii="Calibri" w:eastAsia="Calibri" w:hAnsi="Calibri"/>
      <w:sz w:val="22"/>
      <w:szCs w:val="22"/>
      <w:lang w:val="es-ES" w:eastAsia="en-US"/>
    </w:rPr>
  </w:style>
  <w:style w:type="character" w:customStyle="1" w:styleId="PiedepginaCar">
    <w:name w:val="Pie de página Car"/>
    <w:link w:val="Piedepgina"/>
    <w:rsid w:val="00B934F8"/>
    <w:rPr>
      <w:sz w:val="24"/>
      <w:szCs w:val="24"/>
      <w:lang w:val="es-ES" w:eastAsia="es-ES" w:bidi="ar-SA"/>
    </w:rPr>
  </w:style>
  <w:style w:type="paragraph" w:styleId="Textonotapie">
    <w:name w:val="footnote text"/>
    <w:basedOn w:val="Normal"/>
    <w:semiHidden/>
    <w:rsid w:val="006D51DB"/>
    <w:rPr>
      <w:sz w:val="20"/>
      <w:szCs w:val="20"/>
    </w:rPr>
  </w:style>
  <w:style w:type="character" w:styleId="Refdenotaalpie">
    <w:name w:val="footnote reference"/>
    <w:semiHidden/>
    <w:rsid w:val="006D51DB"/>
    <w:rPr>
      <w:vertAlign w:val="superscript"/>
    </w:rPr>
  </w:style>
  <w:style w:type="table" w:styleId="Tablaconcuadrcula">
    <w:name w:val="Table Grid"/>
    <w:basedOn w:val="Tablanormal"/>
    <w:rsid w:val="00003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C742F"/>
    <w:rPr>
      <w:color w:val="0000FF"/>
      <w:u w:val="single"/>
    </w:rPr>
  </w:style>
  <w:style w:type="paragraph" w:styleId="Epgrafe">
    <w:name w:val="caption"/>
    <w:basedOn w:val="Normal"/>
    <w:next w:val="Normal"/>
    <w:qFormat/>
    <w:rsid w:val="00D03EE5"/>
    <w:rPr>
      <w:b/>
      <w:bCs/>
      <w:sz w:val="20"/>
      <w:szCs w:val="20"/>
    </w:rPr>
  </w:style>
  <w:style w:type="paragraph" w:styleId="TDC1">
    <w:name w:val="toc 1"/>
    <w:basedOn w:val="Normal"/>
    <w:next w:val="Normal"/>
    <w:autoRedefine/>
    <w:uiPriority w:val="39"/>
    <w:rsid w:val="00D03EE5"/>
    <w:pPr>
      <w:spacing w:before="120" w:after="120"/>
    </w:pPr>
    <w:rPr>
      <w:b/>
      <w:bCs/>
      <w:caps/>
      <w:sz w:val="20"/>
      <w:szCs w:val="20"/>
    </w:rPr>
  </w:style>
  <w:style w:type="paragraph" w:styleId="TDC2">
    <w:name w:val="toc 2"/>
    <w:basedOn w:val="Normal"/>
    <w:next w:val="Normal"/>
    <w:autoRedefine/>
    <w:uiPriority w:val="39"/>
    <w:rsid w:val="009B6121"/>
    <w:pPr>
      <w:tabs>
        <w:tab w:val="right" w:leader="dot" w:pos="8830"/>
      </w:tabs>
      <w:spacing w:line="480" w:lineRule="auto"/>
      <w:ind w:left="238"/>
    </w:pPr>
    <w:rPr>
      <w:smallCaps/>
      <w:sz w:val="20"/>
      <w:szCs w:val="20"/>
    </w:rPr>
  </w:style>
  <w:style w:type="paragraph" w:styleId="TDC3">
    <w:name w:val="toc 3"/>
    <w:basedOn w:val="Normal"/>
    <w:next w:val="Normal"/>
    <w:autoRedefine/>
    <w:semiHidden/>
    <w:rsid w:val="00D03EE5"/>
    <w:pPr>
      <w:ind w:left="480"/>
    </w:pPr>
    <w:rPr>
      <w:i/>
      <w:iCs/>
      <w:sz w:val="20"/>
      <w:szCs w:val="20"/>
    </w:rPr>
  </w:style>
  <w:style w:type="paragraph" w:styleId="TDC4">
    <w:name w:val="toc 4"/>
    <w:basedOn w:val="Normal"/>
    <w:next w:val="Normal"/>
    <w:autoRedefine/>
    <w:semiHidden/>
    <w:rsid w:val="00D03EE5"/>
    <w:pPr>
      <w:ind w:left="720"/>
    </w:pPr>
    <w:rPr>
      <w:sz w:val="18"/>
      <w:szCs w:val="18"/>
    </w:rPr>
  </w:style>
  <w:style w:type="paragraph" w:styleId="TDC5">
    <w:name w:val="toc 5"/>
    <w:basedOn w:val="Normal"/>
    <w:next w:val="Normal"/>
    <w:autoRedefine/>
    <w:semiHidden/>
    <w:rsid w:val="00D03EE5"/>
    <w:pPr>
      <w:ind w:left="960"/>
    </w:pPr>
    <w:rPr>
      <w:sz w:val="18"/>
      <w:szCs w:val="18"/>
    </w:rPr>
  </w:style>
  <w:style w:type="paragraph" w:styleId="TDC6">
    <w:name w:val="toc 6"/>
    <w:basedOn w:val="Normal"/>
    <w:next w:val="Normal"/>
    <w:autoRedefine/>
    <w:semiHidden/>
    <w:rsid w:val="00D03EE5"/>
    <w:pPr>
      <w:ind w:left="1200"/>
    </w:pPr>
    <w:rPr>
      <w:sz w:val="18"/>
      <w:szCs w:val="18"/>
    </w:rPr>
  </w:style>
  <w:style w:type="paragraph" w:styleId="TDC7">
    <w:name w:val="toc 7"/>
    <w:basedOn w:val="Normal"/>
    <w:next w:val="Normal"/>
    <w:autoRedefine/>
    <w:semiHidden/>
    <w:rsid w:val="00D03EE5"/>
    <w:pPr>
      <w:ind w:left="1440"/>
    </w:pPr>
    <w:rPr>
      <w:sz w:val="18"/>
      <w:szCs w:val="18"/>
    </w:rPr>
  </w:style>
  <w:style w:type="paragraph" w:styleId="TDC8">
    <w:name w:val="toc 8"/>
    <w:basedOn w:val="Normal"/>
    <w:next w:val="Normal"/>
    <w:autoRedefine/>
    <w:semiHidden/>
    <w:rsid w:val="00D03EE5"/>
    <w:pPr>
      <w:ind w:left="1680"/>
    </w:pPr>
    <w:rPr>
      <w:sz w:val="18"/>
      <w:szCs w:val="18"/>
    </w:rPr>
  </w:style>
  <w:style w:type="paragraph" w:styleId="TDC9">
    <w:name w:val="toc 9"/>
    <w:basedOn w:val="Normal"/>
    <w:next w:val="Normal"/>
    <w:autoRedefine/>
    <w:semiHidden/>
    <w:rsid w:val="00D03EE5"/>
    <w:pPr>
      <w:ind w:left="1920"/>
    </w:pPr>
    <w:rPr>
      <w:sz w:val="18"/>
      <w:szCs w:val="18"/>
    </w:rPr>
  </w:style>
  <w:style w:type="paragraph" w:customStyle="1" w:styleId="Default">
    <w:name w:val="Default"/>
    <w:rsid w:val="0027157A"/>
    <w:pPr>
      <w:autoSpaceDE w:val="0"/>
      <w:autoSpaceDN w:val="0"/>
      <w:adjustRightInd w:val="0"/>
    </w:pPr>
    <w:rPr>
      <w:rFonts w:ascii="Calibri" w:hAnsi="Calibri" w:cs="Calibri"/>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1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7DF"/>
    <w:pPr>
      <w:spacing w:after="200" w:line="276" w:lineRule="auto"/>
      <w:ind w:left="720"/>
      <w:contextualSpacing/>
    </w:pPr>
    <w:rPr>
      <w:rFonts w:ascii="Calibri" w:hAnsi="Calibri"/>
      <w:sz w:val="22"/>
      <w:szCs w:val="22"/>
      <w:lang w:val="es-CO" w:eastAsia="es-CO"/>
    </w:rPr>
  </w:style>
  <w:style w:type="paragraph" w:customStyle="1" w:styleId="Sinespaciado1">
    <w:name w:val="Sin espaciado1"/>
    <w:rsid w:val="007A725E"/>
    <w:rPr>
      <w:rFonts w:ascii="Calibri" w:hAnsi="Calibri"/>
      <w:sz w:val="22"/>
      <w:szCs w:val="22"/>
      <w:lang w:val="es-ES" w:eastAsia="en-US"/>
    </w:rPr>
  </w:style>
  <w:style w:type="paragraph" w:styleId="Piedepgina">
    <w:name w:val="footer"/>
    <w:basedOn w:val="Normal"/>
    <w:link w:val="PiedepginaCar"/>
    <w:rsid w:val="007A725E"/>
    <w:pPr>
      <w:tabs>
        <w:tab w:val="center" w:pos="4252"/>
        <w:tab w:val="right" w:pos="8504"/>
      </w:tabs>
    </w:pPr>
  </w:style>
  <w:style w:type="character" w:styleId="Nmerodepgina">
    <w:name w:val="page number"/>
    <w:basedOn w:val="Fuentedeprrafopredeter"/>
    <w:rsid w:val="007A725E"/>
  </w:style>
  <w:style w:type="paragraph" w:styleId="Encabezado">
    <w:name w:val="header"/>
    <w:basedOn w:val="Normal"/>
    <w:rsid w:val="007A725E"/>
    <w:pPr>
      <w:tabs>
        <w:tab w:val="center" w:pos="4252"/>
        <w:tab w:val="right" w:pos="8504"/>
      </w:tabs>
    </w:pPr>
  </w:style>
  <w:style w:type="paragraph" w:customStyle="1" w:styleId="NoSpacing1">
    <w:name w:val="No Spacing1"/>
    <w:rsid w:val="00B934F8"/>
    <w:rPr>
      <w:rFonts w:ascii="Calibri" w:eastAsia="Calibri" w:hAnsi="Calibri"/>
      <w:sz w:val="22"/>
      <w:szCs w:val="22"/>
      <w:lang w:val="es-ES" w:eastAsia="en-US"/>
    </w:rPr>
  </w:style>
  <w:style w:type="character" w:customStyle="1" w:styleId="PiedepginaCar">
    <w:name w:val="Pie de página Car"/>
    <w:link w:val="Piedepgina"/>
    <w:rsid w:val="00B934F8"/>
    <w:rPr>
      <w:sz w:val="24"/>
      <w:szCs w:val="24"/>
      <w:lang w:val="es-ES" w:eastAsia="es-ES" w:bidi="ar-SA"/>
    </w:rPr>
  </w:style>
  <w:style w:type="paragraph" w:styleId="Textonotapie">
    <w:name w:val="footnote text"/>
    <w:basedOn w:val="Normal"/>
    <w:semiHidden/>
    <w:rsid w:val="006D51DB"/>
    <w:rPr>
      <w:sz w:val="20"/>
      <w:szCs w:val="20"/>
    </w:rPr>
  </w:style>
  <w:style w:type="character" w:styleId="Refdenotaalpie">
    <w:name w:val="footnote reference"/>
    <w:semiHidden/>
    <w:rsid w:val="006D51DB"/>
    <w:rPr>
      <w:vertAlign w:val="superscript"/>
    </w:rPr>
  </w:style>
  <w:style w:type="table" w:styleId="Tablaconcuadrcula">
    <w:name w:val="Table Grid"/>
    <w:basedOn w:val="Tablanormal"/>
    <w:rsid w:val="00003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C742F"/>
    <w:rPr>
      <w:color w:val="0000FF"/>
      <w:u w:val="single"/>
    </w:rPr>
  </w:style>
  <w:style w:type="paragraph" w:styleId="Epgrafe">
    <w:name w:val="caption"/>
    <w:basedOn w:val="Normal"/>
    <w:next w:val="Normal"/>
    <w:qFormat/>
    <w:rsid w:val="00D03EE5"/>
    <w:rPr>
      <w:b/>
      <w:bCs/>
      <w:sz w:val="20"/>
      <w:szCs w:val="20"/>
    </w:rPr>
  </w:style>
  <w:style w:type="paragraph" w:styleId="TDC1">
    <w:name w:val="toc 1"/>
    <w:basedOn w:val="Normal"/>
    <w:next w:val="Normal"/>
    <w:autoRedefine/>
    <w:uiPriority w:val="39"/>
    <w:rsid w:val="00D03EE5"/>
    <w:pPr>
      <w:spacing w:before="120" w:after="120"/>
    </w:pPr>
    <w:rPr>
      <w:b/>
      <w:bCs/>
      <w:caps/>
      <w:sz w:val="20"/>
      <w:szCs w:val="20"/>
    </w:rPr>
  </w:style>
  <w:style w:type="paragraph" w:styleId="TDC2">
    <w:name w:val="toc 2"/>
    <w:basedOn w:val="Normal"/>
    <w:next w:val="Normal"/>
    <w:autoRedefine/>
    <w:uiPriority w:val="39"/>
    <w:rsid w:val="009B6121"/>
    <w:pPr>
      <w:tabs>
        <w:tab w:val="right" w:leader="dot" w:pos="8830"/>
      </w:tabs>
      <w:spacing w:line="480" w:lineRule="auto"/>
      <w:ind w:left="238"/>
    </w:pPr>
    <w:rPr>
      <w:smallCaps/>
      <w:sz w:val="20"/>
      <w:szCs w:val="20"/>
    </w:rPr>
  </w:style>
  <w:style w:type="paragraph" w:styleId="TDC3">
    <w:name w:val="toc 3"/>
    <w:basedOn w:val="Normal"/>
    <w:next w:val="Normal"/>
    <w:autoRedefine/>
    <w:semiHidden/>
    <w:rsid w:val="00D03EE5"/>
    <w:pPr>
      <w:ind w:left="480"/>
    </w:pPr>
    <w:rPr>
      <w:i/>
      <w:iCs/>
      <w:sz w:val="20"/>
      <w:szCs w:val="20"/>
    </w:rPr>
  </w:style>
  <w:style w:type="paragraph" w:styleId="TDC4">
    <w:name w:val="toc 4"/>
    <w:basedOn w:val="Normal"/>
    <w:next w:val="Normal"/>
    <w:autoRedefine/>
    <w:semiHidden/>
    <w:rsid w:val="00D03EE5"/>
    <w:pPr>
      <w:ind w:left="720"/>
    </w:pPr>
    <w:rPr>
      <w:sz w:val="18"/>
      <w:szCs w:val="18"/>
    </w:rPr>
  </w:style>
  <w:style w:type="paragraph" w:styleId="TDC5">
    <w:name w:val="toc 5"/>
    <w:basedOn w:val="Normal"/>
    <w:next w:val="Normal"/>
    <w:autoRedefine/>
    <w:semiHidden/>
    <w:rsid w:val="00D03EE5"/>
    <w:pPr>
      <w:ind w:left="960"/>
    </w:pPr>
    <w:rPr>
      <w:sz w:val="18"/>
      <w:szCs w:val="18"/>
    </w:rPr>
  </w:style>
  <w:style w:type="paragraph" w:styleId="TDC6">
    <w:name w:val="toc 6"/>
    <w:basedOn w:val="Normal"/>
    <w:next w:val="Normal"/>
    <w:autoRedefine/>
    <w:semiHidden/>
    <w:rsid w:val="00D03EE5"/>
    <w:pPr>
      <w:ind w:left="1200"/>
    </w:pPr>
    <w:rPr>
      <w:sz w:val="18"/>
      <w:szCs w:val="18"/>
    </w:rPr>
  </w:style>
  <w:style w:type="paragraph" w:styleId="TDC7">
    <w:name w:val="toc 7"/>
    <w:basedOn w:val="Normal"/>
    <w:next w:val="Normal"/>
    <w:autoRedefine/>
    <w:semiHidden/>
    <w:rsid w:val="00D03EE5"/>
    <w:pPr>
      <w:ind w:left="1440"/>
    </w:pPr>
    <w:rPr>
      <w:sz w:val="18"/>
      <w:szCs w:val="18"/>
    </w:rPr>
  </w:style>
  <w:style w:type="paragraph" w:styleId="TDC8">
    <w:name w:val="toc 8"/>
    <w:basedOn w:val="Normal"/>
    <w:next w:val="Normal"/>
    <w:autoRedefine/>
    <w:semiHidden/>
    <w:rsid w:val="00D03EE5"/>
    <w:pPr>
      <w:ind w:left="1680"/>
    </w:pPr>
    <w:rPr>
      <w:sz w:val="18"/>
      <w:szCs w:val="18"/>
    </w:rPr>
  </w:style>
  <w:style w:type="paragraph" w:styleId="TDC9">
    <w:name w:val="toc 9"/>
    <w:basedOn w:val="Normal"/>
    <w:next w:val="Normal"/>
    <w:autoRedefine/>
    <w:semiHidden/>
    <w:rsid w:val="00D03EE5"/>
    <w:pPr>
      <w:ind w:left="1920"/>
    </w:pPr>
    <w:rPr>
      <w:sz w:val="18"/>
      <w:szCs w:val="18"/>
    </w:rPr>
  </w:style>
  <w:style w:type="paragraph" w:customStyle="1" w:styleId="Default">
    <w:name w:val="Default"/>
    <w:rsid w:val="0027157A"/>
    <w:pPr>
      <w:autoSpaceDE w:val="0"/>
      <w:autoSpaceDN w:val="0"/>
      <w:adjustRightInd w:val="0"/>
    </w:pPr>
    <w:rPr>
      <w:rFonts w:ascii="Calibri" w:hAnsi="Calibri" w:cs="Calibri"/>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3396-7698-4B50-9880-C2480CAA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3470</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NOTA METODOLÓGICA:</vt:lpstr>
    </vt:vector>
  </TitlesOfParts>
  <Company>CONTADURIA GENERAL DE LA NACION</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METODOLÓGICA:</dc:title>
  <dc:creator>bomartinez</dc:creator>
  <cp:lastModifiedBy>Martha Patricia Zornosa Guerra</cp:lastModifiedBy>
  <cp:revision>2</cp:revision>
  <cp:lastPrinted>2014-05-23T20:01:00Z</cp:lastPrinted>
  <dcterms:created xsi:type="dcterms:W3CDTF">2016-06-03T13:44:00Z</dcterms:created>
  <dcterms:modified xsi:type="dcterms:W3CDTF">2016-06-03T13:44:00Z</dcterms:modified>
</cp:coreProperties>
</file>