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6C164" w14:textId="72791A62" w:rsidR="00A126F8" w:rsidRDefault="00F24D7D" w:rsidP="001715BE">
      <w:pPr>
        <w:pStyle w:val="NormalWeb"/>
        <w:spacing w:before="0" w:beforeAutospacing="0" w:after="0" w:afterAutospacing="0"/>
        <w:jc w:val="center"/>
        <w:rPr>
          <w:rFonts w:ascii="Arial" w:eastAsiaTheme="minorHAnsi" w:hAnsi="Arial" w:cs="Arial"/>
          <w:b/>
          <w:bCs/>
          <w:sz w:val="22"/>
          <w:szCs w:val="22"/>
          <w:lang w:val="es-ES" w:eastAsia="en-US"/>
        </w:rPr>
      </w:pPr>
      <w:r>
        <w:rPr>
          <w:rFonts w:ascii="Arial" w:eastAsiaTheme="minorHAnsi" w:hAnsi="Arial" w:cs="Arial"/>
          <w:b/>
          <w:bCs/>
          <w:sz w:val="22"/>
          <w:szCs w:val="22"/>
          <w:lang w:val="es-ES" w:eastAsia="en-US"/>
        </w:rPr>
        <w:t>INFORME DE EFICIENCIA DE LOS COMPUTADORES</w:t>
      </w:r>
    </w:p>
    <w:p w14:paraId="36E1C3B3" w14:textId="3404AD98" w:rsidR="005B5CB6" w:rsidRPr="001715BE" w:rsidRDefault="00741962" w:rsidP="001715BE">
      <w:pPr>
        <w:pStyle w:val="NormalWeb"/>
        <w:spacing w:before="0" w:beforeAutospacing="0" w:after="0" w:afterAutospacing="0"/>
        <w:jc w:val="center"/>
        <w:rPr>
          <w:rFonts w:ascii="Arial" w:eastAsiaTheme="minorHAnsi" w:hAnsi="Arial" w:cs="Arial"/>
          <w:b/>
          <w:bCs/>
          <w:sz w:val="22"/>
          <w:szCs w:val="22"/>
          <w:lang w:val="es-ES" w:eastAsia="en-US"/>
        </w:rPr>
      </w:pPr>
      <w:r>
        <w:rPr>
          <w:rFonts w:ascii="Arial" w:eastAsiaTheme="minorHAnsi" w:hAnsi="Arial" w:cs="Arial"/>
          <w:b/>
          <w:bCs/>
          <w:sz w:val="22"/>
          <w:szCs w:val="22"/>
          <w:lang w:val="es-ES" w:eastAsia="en-US"/>
        </w:rPr>
        <w:t>Primer trimestre 2023</w:t>
      </w:r>
    </w:p>
    <w:p w14:paraId="3AF261D5" w14:textId="7BA3A150" w:rsidR="00F24D7D" w:rsidRDefault="00F24D7D" w:rsidP="00904946">
      <w:pPr>
        <w:pStyle w:val="NormalWeb"/>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El análisis de eficiencia de los computadores en la CGN se </w:t>
      </w:r>
      <w:r w:rsidR="001A18C7">
        <w:rPr>
          <w:rFonts w:ascii="Arial" w:eastAsiaTheme="minorHAnsi" w:hAnsi="Arial" w:cs="Arial"/>
          <w:sz w:val="22"/>
          <w:szCs w:val="22"/>
          <w:lang w:val="es-ES" w:eastAsia="en-US"/>
        </w:rPr>
        <w:t>limita</w:t>
      </w:r>
      <w:r>
        <w:rPr>
          <w:rFonts w:ascii="Arial" w:eastAsiaTheme="minorHAnsi" w:hAnsi="Arial" w:cs="Arial"/>
          <w:sz w:val="22"/>
          <w:szCs w:val="22"/>
          <w:lang w:val="es-ES" w:eastAsia="en-US"/>
        </w:rPr>
        <w:t xml:space="preserve"> a los equipos de escritorio o PCs asignados a los funcionarios y colaboradores que asisten de manera presencial y regular a la entidad. En años anteriores y de manera permanente, la CGN venia facilitando este recurso tanto al personal de planta como al personal de contrato por prestación de servicios</w:t>
      </w:r>
      <w:r w:rsidR="00052DF6">
        <w:rPr>
          <w:rFonts w:ascii="Arial" w:eastAsiaTheme="minorHAnsi" w:hAnsi="Arial" w:cs="Arial"/>
          <w:sz w:val="22"/>
          <w:szCs w:val="22"/>
          <w:lang w:val="es-ES" w:eastAsia="en-US"/>
        </w:rPr>
        <w:t>; sin embargo, desde el año anterior los PCs sólo se asignan al personal de planta mientras los contratistas son apoyados con tecnologías virtualizadas.</w:t>
      </w:r>
    </w:p>
    <w:p w14:paraId="130FFBA8" w14:textId="6DCFECFC" w:rsidR="00052DF6" w:rsidRDefault="00641712" w:rsidP="00904946">
      <w:pPr>
        <w:pStyle w:val="NormalWeb"/>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La eficiencia energética de un PC está basada en el consumo de energía eléctrica que es necesaria para garantizar su funcionamiento en periodos de tiempo que incluye los lapsos de reposo. Cada fabricante establece los parámetros mínimos en sus diferentes marcas y modelos para los principales componentes como la CPU y el monitor.</w:t>
      </w:r>
    </w:p>
    <w:p w14:paraId="4F908288" w14:textId="056299D3" w:rsidR="00641712" w:rsidRDefault="00641712" w:rsidP="00E117A6">
      <w:pPr>
        <w:pStyle w:val="NormalWeb"/>
        <w:jc w:val="both"/>
        <w:rPr>
          <w:rFonts w:ascii="Arial" w:hAnsi="Arial" w:cs="Arial"/>
          <w:sz w:val="22"/>
          <w:szCs w:val="22"/>
          <w:lang w:val="es-ES"/>
        </w:rPr>
      </w:pPr>
      <w:r>
        <w:rPr>
          <w:rFonts w:ascii="Arial" w:hAnsi="Arial" w:cs="Arial"/>
          <w:sz w:val="22"/>
          <w:szCs w:val="22"/>
          <w:lang w:val="es-ES"/>
        </w:rPr>
        <w:t xml:space="preserve">EL GIT de Apoyo Informático ha venido realizando, con periodicidad semestral, el cálculo de dicha eficiencia sobre el parque de equipos tipo PC instalados en la CGN con el propósito de suministrar datos particulares </w:t>
      </w:r>
      <w:r w:rsidR="00741962">
        <w:rPr>
          <w:rFonts w:ascii="Arial" w:hAnsi="Arial" w:cs="Arial"/>
          <w:sz w:val="22"/>
          <w:szCs w:val="22"/>
          <w:lang w:val="es-ES"/>
        </w:rPr>
        <w:t xml:space="preserve">al Programa Institucional de Gestión Ambiental-PIGA. Por solicitud del GIT de Planeación, los datos del presente informe tienen periodicidad trimestral. Además, cabe considerar que la medición anterior corresponde al primer semestre de 2022 y que en dicho periodo la entidad contaba con la infraestructura física de los pisos 3 y 15 del edificio actual donde estaban desplegados </w:t>
      </w:r>
      <w:r w:rsidR="00EA6BF5">
        <w:rPr>
          <w:rFonts w:ascii="Arial" w:hAnsi="Arial" w:cs="Arial"/>
          <w:sz w:val="22"/>
          <w:szCs w:val="22"/>
          <w:lang w:val="es-ES"/>
        </w:rPr>
        <w:t>222</w:t>
      </w:r>
      <w:r w:rsidR="00741962">
        <w:rPr>
          <w:rFonts w:ascii="Arial" w:hAnsi="Arial" w:cs="Arial"/>
          <w:sz w:val="22"/>
          <w:szCs w:val="22"/>
          <w:lang w:val="es-ES"/>
        </w:rPr>
        <w:t xml:space="preserve"> PCs.</w:t>
      </w:r>
    </w:p>
    <w:p w14:paraId="3FA52DB9" w14:textId="01AB10F2" w:rsidR="00681536" w:rsidRDefault="00741962" w:rsidP="00E117A6">
      <w:pPr>
        <w:pStyle w:val="NormalWeb"/>
        <w:jc w:val="both"/>
        <w:rPr>
          <w:rFonts w:ascii="Arial" w:hAnsi="Arial" w:cs="Arial"/>
          <w:sz w:val="22"/>
          <w:szCs w:val="22"/>
          <w:lang w:val="es-ES"/>
        </w:rPr>
      </w:pPr>
      <w:r>
        <w:rPr>
          <w:rFonts w:ascii="Arial" w:hAnsi="Arial" w:cs="Arial"/>
          <w:sz w:val="22"/>
          <w:szCs w:val="22"/>
          <w:lang w:val="es-ES"/>
        </w:rPr>
        <w:t>En la actualidad y como efecto de la aplicación de alguna</w:t>
      </w:r>
      <w:r w:rsidR="00A83071">
        <w:rPr>
          <w:rFonts w:ascii="Arial" w:hAnsi="Arial" w:cs="Arial"/>
          <w:sz w:val="22"/>
          <w:szCs w:val="22"/>
          <w:lang w:val="es-ES"/>
        </w:rPr>
        <w:t>s</w:t>
      </w:r>
      <w:r>
        <w:rPr>
          <w:rFonts w:ascii="Arial" w:hAnsi="Arial" w:cs="Arial"/>
          <w:sz w:val="22"/>
          <w:szCs w:val="22"/>
          <w:lang w:val="es-ES"/>
        </w:rPr>
        <w:t xml:space="preserve"> políticas de gestión, la entidad solo cuenta con la infraestructura física del piso 15 donde se encuentran instalados y funcionando 99 PCs asignados a los funcionarios de la planta de personal.</w:t>
      </w:r>
      <w:r w:rsidR="00A83071">
        <w:rPr>
          <w:rFonts w:ascii="Arial" w:hAnsi="Arial" w:cs="Arial"/>
          <w:sz w:val="22"/>
          <w:szCs w:val="22"/>
          <w:lang w:val="es-ES"/>
        </w:rPr>
        <w:t xml:space="preserve"> Lo anterior muestra una reducción </w:t>
      </w:r>
      <w:r w:rsidR="00681536">
        <w:rPr>
          <w:rFonts w:ascii="Arial" w:hAnsi="Arial" w:cs="Arial"/>
          <w:sz w:val="22"/>
          <w:szCs w:val="22"/>
          <w:lang w:val="es-ES"/>
        </w:rPr>
        <w:t xml:space="preserve">de </w:t>
      </w:r>
      <w:r w:rsidR="00EA6BF5">
        <w:rPr>
          <w:rFonts w:ascii="Arial" w:hAnsi="Arial" w:cs="Arial"/>
          <w:sz w:val="22"/>
          <w:szCs w:val="22"/>
          <w:lang w:val="es-ES"/>
        </w:rPr>
        <w:t>55</w:t>
      </w:r>
      <w:r w:rsidR="00681536">
        <w:rPr>
          <w:rFonts w:ascii="Arial" w:hAnsi="Arial" w:cs="Arial"/>
          <w:sz w:val="22"/>
          <w:szCs w:val="22"/>
          <w:lang w:val="es-ES"/>
        </w:rPr>
        <w:t>% en la cantidad total de PCs instalados respecto del primer semestre de 2022</w:t>
      </w:r>
      <w:r w:rsidR="00CD0012">
        <w:rPr>
          <w:rFonts w:ascii="Arial" w:hAnsi="Arial" w:cs="Arial"/>
          <w:sz w:val="22"/>
          <w:szCs w:val="22"/>
          <w:lang w:val="es-ES"/>
        </w:rPr>
        <w:t>; para el retiro de dichos equipos se tuvo en cuenta su tiempo de vida útil.</w:t>
      </w:r>
    </w:p>
    <w:p w14:paraId="73D7F59C" w14:textId="6836F8A3" w:rsidR="00CD0012" w:rsidRDefault="00CD0012" w:rsidP="00E117A6">
      <w:pPr>
        <w:pStyle w:val="NormalWeb"/>
        <w:jc w:val="both"/>
        <w:rPr>
          <w:rFonts w:ascii="Arial" w:hAnsi="Arial" w:cs="Arial"/>
          <w:sz w:val="22"/>
          <w:szCs w:val="22"/>
          <w:lang w:val="es-ES"/>
        </w:rPr>
      </w:pPr>
      <w:r>
        <w:rPr>
          <w:rFonts w:ascii="Arial" w:hAnsi="Arial" w:cs="Arial"/>
          <w:sz w:val="22"/>
          <w:szCs w:val="22"/>
          <w:lang w:val="es-ES"/>
        </w:rPr>
        <w:t xml:space="preserve">Así mismo, en el último mes de 2022 la CGN adquirió un lote nuevo de </w:t>
      </w:r>
      <w:r w:rsidR="00D53225">
        <w:rPr>
          <w:rFonts w:ascii="Arial" w:hAnsi="Arial" w:cs="Arial"/>
          <w:sz w:val="22"/>
          <w:szCs w:val="22"/>
          <w:lang w:val="es-ES"/>
        </w:rPr>
        <w:t>72</w:t>
      </w:r>
      <w:r>
        <w:rPr>
          <w:rFonts w:ascii="Arial" w:hAnsi="Arial" w:cs="Arial"/>
          <w:sz w:val="22"/>
          <w:szCs w:val="22"/>
          <w:lang w:val="es-ES"/>
        </w:rPr>
        <w:t xml:space="preserve"> PCs marca Dell Vostro 3710, de los cuales </w:t>
      </w:r>
      <w:r w:rsidR="00135DAD">
        <w:rPr>
          <w:rFonts w:ascii="Arial" w:hAnsi="Arial" w:cs="Arial"/>
          <w:sz w:val="22"/>
          <w:szCs w:val="22"/>
          <w:lang w:val="es-ES"/>
        </w:rPr>
        <w:t xml:space="preserve">55 </w:t>
      </w:r>
      <w:r>
        <w:rPr>
          <w:rFonts w:ascii="Arial" w:hAnsi="Arial" w:cs="Arial"/>
          <w:sz w:val="22"/>
          <w:szCs w:val="22"/>
          <w:lang w:val="es-ES"/>
        </w:rPr>
        <w:t xml:space="preserve">se encuentran instalados y funcionando. Es importante anotar </w:t>
      </w:r>
      <w:r w:rsidR="002B00B5">
        <w:rPr>
          <w:rFonts w:ascii="Arial" w:hAnsi="Arial" w:cs="Arial"/>
          <w:sz w:val="22"/>
          <w:szCs w:val="22"/>
          <w:lang w:val="es-ES"/>
        </w:rPr>
        <w:t>que,</w:t>
      </w:r>
      <w:r w:rsidR="00135DAD">
        <w:rPr>
          <w:rFonts w:ascii="Arial" w:hAnsi="Arial" w:cs="Arial"/>
          <w:sz w:val="22"/>
          <w:szCs w:val="22"/>
          <w:lang w:val="es-ES"/>
        </w:rPr>
        <w:t xml:space="preserve"> </w:t>
      </w:r>
      <w:r>
        <w:rPr>
          <w:rFonts w:ascii="Arial" w:hAnsi="Arial" w:cs="Arial"/>
          <w:sz w:val="22"/>
          <w:szCs w:val="22"/>
          <w:lang w:val="es-ES"/>
        </w:rPr>
        <w:t xml:space="preserve">debido a la implementación de la política de teletrabajo, </w:t>
      </w:r>
      <w:r w:rsidR="00462E0D">
        <w:rPr>
          <w:rFonts w:ascii="Arial" w:hAnsi="Arial" w:cs="Arial"/>
          <w:sz w:val="22"/>
          <w:szCs w:val="22"/>
          <w:lang w:val="es-ES"/>
        </w:rPr>
        <w:t xml:space="preserve">para </w:t>
      </w:r>
      <w:r>
        <w:rPr>
          <w:rFonts w:ascii="Arial" w:hAnsi="Arial" w:cs="Arial"/>
          <w:sz w:val="22"/>
          <w:szCs w:val="22"/>
          <w:lang w:val="es-ES"/>
        </w:rPr>
        <w:t xml:space="preserve">el parque actual de PCs </w:t>
      </w:r>
      <w:r w:rsidR="00462E0D">
        <w:rPr>
          <w:rFonts w:ascii="Arial" w:hAnsi="Arial" w:cs="Arial"/>
          <w:sz w:val="22"/>
          <w:szCs w:val="22"/>
          <w:lang w:val="es-ES"/>
        </w:rPr>
        <w:t>se h</w:t>
      </w:r>
      <w:r>
        <w:rPr>
          <w:rFonts w:ascii="Arial" w:hAnsi="Arial" w:cs="Arial"/>
          <w:sz w:val="22"/>
          <w:szCs w:val="22"/>
          <w:lang w:val="es-ES"/>
        </w:rPr>
        <w:t xml:space="preserve">a incrementado el tiempo </w:t>
      </w:r>
      <w:r w:rsidR="008A6281">
        <w:rPr>
          <w:rFonts w:ascii="Arial" w:hAnsi="Arial" w:cs="Arial"/>
          <w:sz w:val="22"/>
          <w:szCs w:val="22"/>
          <w:lang w:val="es-ES"/>
        </w:rPr>
        <w:t xml:space="preserve">promedio </w:t>
      </w:r>
      <w:r>
        <w:rPr>
          <w:rFonts w:ascii="Arial" w:hAnsi="Arial" w:cs="Arial"/>
          <w:sz w:val="22"/>
          <w:szCs w:val="22"/>
          <w:lang w:val="es-ES"/>
        </w:rPr>
        <w:t>diario de uso de 8 a 2</w:t>
      </w:r>
      <w:r w:rsidR="008A6281">
        <w:rPr>
          <w:rFonts w:ascii="Arial" w:hAnsi="Arial" w:cs="Arial"/>
          <w:sz w:val="22"/>
          <w:szCs w:val="22"/>
          <w:lang w:val="es-ES"/>
        </w:rPr>
        <w:t>3,9</w:t>
      </w:r>
      <w:r>
        <w:rPr>
          <w:rFonts w:ascii="Arial" w:hAnsi="Arial" w:cs="Arial"/>
          <w:sz w:val="22"/>
          <w:szCs w:val="22"/>
          <w:lang w:val="es-ES"/>
        </w:rPr>
        <w:t xml:space="preserve"> horas; es decir, son equipos que permanecen siempre encendidos para garantizar su acceso por VPN en cualquier momento.</w:t>
      </w:r>
    </w:p>
    <w:p w14:paraId="66CC5740" w14:textId="5548F4AC" w:rsidR="00355D8D" w:rsidRDefault="00355D8D" w:rsidP="00E117A6">
      <w:pPr>
        <w:pStyle w:val="NormalWeb"/>
        <w:jc w:val="both"/>
        <w:rPr>
          <w:rFonts w:ascii="Arial" w:hAnsi="Arial" w:cs="Arial"/>
          <w:sz w:val="22"/>
          <w:szCs w:val="22"/>
          <w:lang w:val="es-ES"/>
        </w:rPr>
      </w:pPr>
      <w:r>
        <w:rPr>
          <w:rFonts w:ascii="Arial" w:hAnsi="Arial" w:cs="Arial"/>
          <w:sz w:val="22"/>
          <w:szCs w:val="22"/>
          <w:lang w:val="es-ES"/>
        </w:rPr>
        <w:t>Para el periodo enero-marzo de 2023 las cifras presentan el siguiente panorama:</w:t>
      </w:r>
    </w:p>
    <w:p w14:paraId="796DFDB9" w14:textId="163BCA41" w:rsidR="00681536" w:rsidRDefault="002B00B5" w:rsidP="00E117A6">
      <w:pPr>
        <w:pStyle w:val="NormalWeb"/>
        <w:jc w:val="both"/>
        <w:rPr>
          <w:rFonts w:ascii="Arial" w:hAnsi="Arial" w:cs="Arial"/>
          <w:sz w:val="22"/>
          <w:szCs w:val="22"/>
          <w:lang w:val="es-ES"/>
        </w:rPr>
      </w:pPr>
      <w:r w:rsidRPr="002B00B5">
        <w:rPr>
          <w:noProof/>
        </w:rPr>
        <w:drawing>
          <wp:inline distT="0" distB="0" distL="0" distR="0" wp14:anchorId="0AF05EAA" wp14:editId="75008749">
            <wp:extent cx="5731510" cy="1760855"/>
            <wp:effectExtent l="0" t="0" r="2540" b="0"/>
            <wp:docPr id="15473696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760855"/>
                    </a:xfrm>
                    <a:prstGeom prst="rect">
                      <a:avLst/>
                    </a:prstGeom>
                    <a:noFill/>
                    <a:ln>
                      <a:noFill/>
                    </a:ln>
                  </pic:spPr>
                </pic:pic>
              </a:graphicData>
            </a:graphic>
          </wp:inline>
        </w:drawing>
      </w:r>
    </w:p>
    <w:p w14:paraId="506BBFF2" w14:textId="5839EA66" w:rsidR="00681536" w:rsidRDefault="00FB6894" w:rsidP="00E117A6">
      <w:pPr>
        <w:pStyle w:val="NormalWeb"/>
        <w:jc w:val="both"/>
        <w:rPr>
          <w:rFonts w:ascii="Arial" w:hAnsi="Arial" w:cs="Arial"/>
          <w:sz w:val="22"/>
          <w:szCs w:val="22"/>
          <w:lang w:val="es-ES"/>
        </w:rPr>
      </w:pPr>
      <w:r>
        <w:rPr>
          <w:rFonts w:ascii="Arial" w:hAnsi="Arial" w:cs="Arial"/>
          <w:sz w:val="22"/>
          <w:szCs w:val="22"/>
          <w:lang w:val="es-ES"/>
        </w:rPr>
        <w:t>Se destacan las siguientes situaciones:</w:t>
      </w:r>
    </w:p>
    <w:p w14:paraId="05C59A41" w14:textId="5D88310E" w:rsidR="002B00B5" w:rsidRDefault="00FB6894" w:rsidP="00E117A6">
      <w:pPr>
        <w:pStyle w:val="NormalWeb"/>
        <w:jc w:val="both"/>
        <w:rPr>
          <w:rFonts w:ascii="Arial" w:hAnsi="Arial" w:cs="Arial"/>
          <w:sz w:val="22"/>
          <w:szCs w:val="22"/>
          <w:lang w:val="es-ES"/>
        </w:rPr>
      </w:pPr>
      <w:r>
        <w:rPr>
          <w:rFonts w:ascii="Arial" w:hAnsi="Arial" w:cs="Arial"/>
          <w:sz w:val="22"/>
          <w:szCs w:val="22"/>
          <w:lang w:val="es-ES"/>
        </w:rPr>
        <w:lastRenderedPageBreak/>
        <w:t xml:space="preserve">Los equipos DELL VOSTRO 3710 representan el </w:t>
      </w:r>
      <w:r w:rsidR="00BD3D06">
        <w:rPr>
          <w:rFonts w:ascii="Arial" w:hAnsi="Arial" w:cs="Arial"/>
          <w:sz w:val="22"/>
          <w:szCs w:val="22"/>
          <w:lang w:val="es-ES"/>
        </w:rPr>
        <w:t>55</w:t>
      </w:r>
      <w:r>
        <w:rPr>
          <w:rFonts w:ascii="Arial" w:hAnsi="Arial" w:cs="Arial"/>
          <w:sz w:val="22"/>
          <w:szCs w:val="22"/>
          <w:lang w:val="es-ES"/>
        </w:rPr>
        <w:t xml:space="preserve">% del total </w:t>
      </w:r>
      <w:r w:rsidR="00BD3D06">
        <w:rPr>
          <w:rFonts w:ascii="Arial" w:hAnsi="Arial" w:cs="Arial"/>
          <w:sz w:val="22"/>
          <w:szCs w:val="22"/>
          <w:lang w:val="es-ES"/>
        </w:rPr>
        <w:t>instalados</w:t>
      </w:r>
      <w:r w:rsidR="002B00B5">
        <w:rPr>
          <w:rFonts w:ascii="Arial" w:hAnsi="Arial" w:cs="Arial"/>
          <w:sz w:val="22"/>
          <w:szCs w:val="22"/>
          <w:lang w:val="es-ES"/>
        </w:rPr>
        <w:t xml:space="preserve"> con uno de los mejores factores de consumo energético individual </w:t>
      </w:r>
      <w:r w:rsidR="008A6281">
        <w:rPr>
          <w:rFonts w:ascii="Arial" w:hAnsi="Arial" w:cs="Arial"/>
          <w:sz w:val="22"/>
          <w:szCs w:val="22"/>
          <w:lang w:val="es-ES"/>
        </w:rPr>
        <w:t>de</w:t>
      </w:r>
      <w:r w:rsidR="002B00B5">
        <w:rPr>
          <w:rFonts w:ascii="Arial" w:hAnsi="Arial" w:cs="Arial"/>
          <w:sz w:val="22"/>
          <w:szCs w:val="22"/>
          <w:lang w:val="es-ES"/>
        </w:rPr>
        <w:t xml:space="preserve"> 1,08; sin embargo, representan el mayor consumo debido la cantidad significativa de equipos respecto del total.</w:t>
      </w:r>
    </w:p>
    <w:p w14:paraId="1A649D8B" w14:textId="0B3425A0" w:rsidR="002B00B5" w:rsidRDefault="002B00B5" w:rsidP="00E117A6">
      <w:pPr>
        <w:pStyle w:val="NormalWeb"/>
        <w:jc w:val="both"/>
        <w:rPr>
          <w:rFonts w:ascii="Arial" w:hAnsi="Arial" w:cs="Arial"/>
          <w:sz w:val="22"/>
          <w:szCs w:val="22"/>
          <w:lang w:val="es-ES"/>
        </w:rPr>
      </w:pPr>
      <w:r>
        <w:rPr>
          <w:noProof/>
        </w:rPr>
        <w:drawing>
          <wp:inline distT="0" distB="0" distL="0" distR="0" wp14:anchorId="6A9413FF" wp14:editId="50354E12">
            <wp:extent cx="5731510" cy="1822450"/>
            <wp:effectExtent l="0" t="0" r="2540" b="6350"/>
            <wp:docPr id="1519609216" name="Gráfico 1">
              <a:extLst xmlns:a="http://schemas.openxmlformats.org/drawingml/2006/main">
                <a:ext uri="{FF2B5EF4-FFF2-40B4-BE49-F238E27FC236}">
                  <a16:creationId xmlns:a16="http://schemas.microsoft.com/office/drawing/2014/main" id="{055A57B5-EF2B-457C-8F3D-687EEB5E29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4BCD38" w14:textId="5A62FB95" w:rsidR="00FB6894" w:rsidRDefault="002B00B5" w:rsidP="00E117A6">
      <w:pPr>
        <w:pStyle w:val="NormalWeb"/>
        <w:jc w:val="both"/>
        <w:rPr>
          <w:rFonts w:ascii="Arial" w:hAnsi="Arial" w:cs="Arial"/>
          <w:sz w:val="22"/>
          <w:szCs w:val="22"/>
          <w:lang w:val="es-ES"/>
        </w:rPr>
      </w:pPr>
      <w:r>
        <w:rPr>
          <w:rFonts w:ascii="Arial" w:hAnsi="Arial" w:cs="Arial"/>
          <w:sz w:val="22"/>
          <w:szCs w:val="22"/>
          <w:lang w:val="es-ES"/>
        </w:rPr>
        <w:t xml:space="preserve">Los equipos con mayor factor energético son los </w:t>
      </w:r>
      <w:r w:rsidRPr="002B00B5">
        <w:rPr>
          <w:rFonts w:ascii="Arial" w:hAnsi="Arial" w:cs="Arial"/>
          <w:sz w:val="22"/>
          <w:szCs w:val="22"/>
          <w:lang w:val="es-ES"/>
        </w:rPr>
        <w:t>HP 23-n010la</w:t>
      </w:r>
      <w:r>
        <w:rPr>
          <w:rFonts w:ascii="Arial" w:hAnsi="Arial" w:cs="Arial"/>
          <w:sz w:val="22"/>
          <w:szCs w:val="22"/>
          <w:lang w:val="es-ES"/>
        </w:rPr>
        <w:t xml:space="preserve"> con 2,78 esto se debe a que son los equipos con mayor edad y tiempo de uso.</w:t>
      </w:r>
    </w:p>
    <w:p w14:paraId="78C893D3" w14:textId="2A3E76A2" w:rsidR="00681536" w:rsidRDefault="00EA6BF5" w:rsidP="00E117A6">
      <w:pPr>
        <w:pStyle w:val="NormalWeb"/>
        <w:jc w:val="both"/>
        <w:rPr>
          <w:rFonts w:ascii="Arial" w:hAnsi="Arial" w:cs="Arial"/>
          <w:sz w:val="22"/>
          <w:szCs w:val="22"/>
          <w:lang w:val="es-ES"/>
        </w:rPr>
      </w:pPr>
      <w:r>
        <w:rPr>
          <w:rFonts w:ascii="Arial" w:hAnsi="Arial" w:cs="Arial"/>
          <w:sz w:val="22"/>
          <w:szCs w:val="22"/>
          <w:lang w:val="es-ES"/>
        </w:rPr>
        <w:t>En comparación con la medición anterior, el consumo diario aumentó 3Kwh al pasar de 129 a 133; lo que parece inconsistente si se tiene en cuenta que actualmente hay 123 PCs menos</w:t>
      </w:r>
      <w:r w:rsidR="00427BFE">
        <w:rPr>
          <w:rFonts w:ascii="Arial" w:hAnsi="Arial" w:cs="Arial"/>
          <w:sz w:val="22"/>
          <w:szCs w:val="22"/>
          <w:lang w:val="es-ES"/>
        </w:rPr>
        <w:t>, pero la explicación se fundamenta en que el presente cálculo se realizó sobre 23,93 horas diarias de uso mientras el anterior tomaba como base 8 horas diarias, ello obedece a la implementación de la política de teletrabajo.</w:t>
      </w:r>
      <w:r>
        <w:rPr>
          <w:rFonts w:ascii="Arial" w:hAnsi="Arial" w:cs="Arial"/>
          <w:sz w:val="22"/>
          <w:szCs w:val="22"/>
          <w:lang w:val="es-ES"/>
        </w:rPr>
        <w:t xml:space="preserve"> </w:t>
      </w:r>
    </w:p>
    <w:p w14:paraId="52DACBB1" w14:textId="2BF44370" w:rsidR="0082792F" w:rsidRDefault="0082792F" w:rsidP="00E117A6">
      <w:pPr>
        <w:pStyle w:val="NormalWeb"/>
        <w:jc w:val="both"/>
        <w:rPr>
          <w:rFonts w:ascii="Arial" w:hAnsi="Arial" w:cs="Arial"/>
          <w:sz w:val="22"/>
          <w:szCs w:val="22"/>
          <w:lang w:val="es-ES"/>
        </w:rPr>
      </w:pPr>
      <w:r>
        <w:rPr>
          <w:rFonts w:ascii="Arial" w:hAnsi="Arial" w:cs="Arial"/>
          <w:sz w:val="22"/>
          <w:szCs w:val="22"/>
          <w:lang w:val="es-ES"/>
        </w:rPr>
        <w:t>En conclusión, actualmente el parque de PCs de la entidad está compuesto, en su mayoría, por equipos que son ambientalmente amigables respecto al consumo energético y aunque aún se encuentran instalados algunos que están en el límite de su vida útil la entidad está en capacidad de renovarlos en corto tiempo al disponer en su stock de equipos nuevos.</w:t>
      </w:r>
    </w:p>
    <w:p w14:paraId="06564C97" w14:textId="77777777" w:rsidR="0046759C" w:rsidRDefault="0046759C" w:rsidP="00E117A6">
      <w:pPr>
        <w:pStyle w:val="NormalWeb"/>
        <w:jc w:val="both"/>
        <w:rPr>
          <w:rFonts w:ascii="Arial" w:hAnsi="Arial" w:cs="Arial"/>
          <w:sz w:val="22"/>
          <w:szCs w:val="22"/>
          <w:lang w:val="es-ES"/>
        </w:rPr>
      </w:pPr>
    </w:p>
    <w:p w14:paraId="18E8C2B1" w14:textId="77777777" w:rsidR="0046759C" w:rsidRDefault="0046759C" w:rsidP="00E117A6">
      <w:pPr>
        <w:pStyle w:val="NormalWeb"/>
        <w:jc w:val="both"/>
        <w:rPr>
          <w:rFonts w:ascii="Arial" w:hAnsi="Arial" w:cs="Arial"/>
          <w:sz w:val="22"/>
          <w:szCs w:val="22"/>
          <w:lang w:val="es-ES"/>
        </w:rPr>
      </w:pPr>
    </w:p>
    <w:p w14:paraId="0712EBBC" w14:textId="69E44A75" w:rsidR="0046759C" w:rsidRDefault="0046759C" w:rsidP="00E117A6">
      <w:pPr>
        <w:pStyle w:val="NormalWeb"/>
        <w:jc w:val="both"/>
        <w:rPr>
          <w:rFonts w:ascii="Arial" w:hAnsi="Arial" w:cs="Arial"/>
          <w:sz w:val="22"/>
          <w:szCs w:val="22"/>
          <w:lang w:val="es-ES"/>
        </w:rPr>
      </w:pPr>
      <w:r>
        <w:rPr>
          <w:rFonts w:ascii="Arial" w:hAnsi="Arial" w:cs="Arial"/>
          <w:sz w:val="22"/>
          <w:szCs w:val="22"/>
          <w:lang w:val="es-ES"/>
        </w:rPr>
        <w:t>Referencias.</w:t>
      </w:r>
    </w:p>
    <w:p w14:paraId="0606DADC" w14:textId="5A161B1F" w:rsidR="0046759C" w:rsidRDefault="00000000" w:rsidP="0046759C">
      <w:pPr>
        <w:pStyle w:val="NormalWeb"/>
        <w:jc w:val="both"/>
        <w:rPr>
          <w:rFonts w:ascii="Arial" w:hAnsi="Arial" w:cs="Arial"/>
          <w:sz w:val="22"/>
          <w:szCs w:val="22"/>
          <w:lang w:val="es-ES"/>
        </w:rPr>
      </w:pPr>
      <w:hyperlink r:id="rId7" w:history="1">
        <w:r w:rsidR="0046759C" w:rsidRPr="00BF6720">
          <w:rPr>
            <w:rStyle w:val="Hipervnculo"/>
            <w:rFonts w:ascii="Arial" w:hAnsi="Arial" w:cs="Arial"/>
            <w:sz w:val="22"/>
            <w:szCs w:val="22"/>
            <w:lang w:val="es-ES"/>
          </w:rPr>
          <w:t>https://www.dell.com/es-es/dt/corporate/social-impact/advancing-sustainability/sustainable-products-and-services/energy-efficiency.htm</w:t>
        </w:r>
      </w:hyperlink>
    </w:p>
    <w:p w14:paraId="5006E171" w14:textId="3F16BDCD" w:rsidR="0046759C" w:rsidRDefault="00000000" w:rsidP="0046759C">
      <w:pPr>
        <w:pStyle w:val="NormalWeb"/>
        <w:jc w:val="both"/>
        <w:rPr>
          <w:rFonts w:ascii="Arial" w:hAnsi="Arial" w:cs="Arial"/>
          <w:sz w:val="22"/>
          <w:szCs w:val="22"/>
          <w:lang w:val="es-ES"/>
        </w:rPr>
      </w:pPr>
      <w:hyperlink r:id="rId8" w:history="1">
        <w:r w:rsidR="0046759C" w:rsidRPr="00BF6720">
          <w:rPr>
            <w:rStyle w:val="Hipervnculo"/>
            <w:rFonts w:ascii="Arial" w:hAnsi="Arial" w:cs="Arial"/>
            <w:sz w:val="22"/>
            <w:szCs w:val="22"/>
            <w:lang w:val="es-ES"/>
          </w:rPr>
          <w:t>https://www.lenovo.com/medias/Lenovo-V310Z.pdf?context=bWFzdGVyfHJvb3R8NTE4NTA3fGFwcGxpY2F0aW9uL3BkZnxoYWUvaGNkLzk0ODYxODM4NTgyMDYucGRmfDViYjkwNGYzMTA5MGZlYThkMWRiYzM4YWFmOWI2NDQzMjY4YWE2ZTYwYzJhYzRjN2RkODAwNDQ5YTU4MzZhMWU</w:t>
        </w:r>
      </w:hyperlink>
    </w:p>
    <w:p w14:paraId="33039CBE" w14:textId="40630E45" w:rsidR="0046759C" w:rsidRDefault="00000000" w:rsidP="0046759C">
      <w:pPr>
        <w:pStyle w:val="NormalWeb"/>
        <w:jc w:val="both"/>
        <w:rPr>
          <w:rFonts w:ascii="Arial" w:hAnsi="Arial" w:cs="Arial"/>
          <w:sz w:val="22"/>
          <w:szCs w:val="22"/>
          <w:lang w:val="es-ES"/>
        </w:rPr>
      </w:pPr>
      <w:hyperlink r:id="rId9" w:history="1">
        <w:r w:rsidR="0046759C" w:rsidRPr="00BF6720">
          <w:rPr>
            <w:rStyle w:val="Hipervnculo"/>
            <w:rFonts w:ascii="Arial" w:hAnsi="Arial" w:cs="Arial"/>
            <w:sz w:val="22"/>
            <w:szCs w:val="22"/>
            <w:lang w:val="es-ES"/>
          </w:rPr>
          <w:t>http://h22235.www2.hp.com/hpinfo/globalcitizenship/environment/productdata/Countries/_MultiCountry/iteco_deskto_201861423930924.pdf</w:t>
        </w:r>
      </w:hyperlink>
    </w:p>
    <w:p w14:paraId="2CA1060F" w14:textId="429F85CA" w:rsidR="0046759C" w:rsidRDefault="00000000" w:rsidP="0046759C">
      <w:pPr>
        <w:pStyle w:val="NormalWeb"/>
        <w:jc w:val="both"/>
        <w:rPr>
          <w:rFonts w:ascii="Arial" w:hAnsi="Arial" w:cs="Arial"/>
          <w:sz w:val="22"/>
          <w:szCs w:val="22"/>
          <w:lang w:val="es-ES"/>
        </w:rPr>
      </w:pPr>
      <w:hyperlink r:id="rId10" w:history="1">
        <w:r w:rsidR="0046759C" w:rsidRPr="00BF6720">
          <w:rPr>
            <w:rStyle w:val="Hipervnculo"/>
            <w:rFonts w:ascii="Arial" w:hAnsi="Arial" w:cs="Arial"/>
            <w:sz w:val="22"/>
            <w:szCs w:val="22"/>
            <w:lang w:val="es-ES"/>
          </w:rPr>
          <w:t>http://ec.europa.eu/environment/emas/pdf/other/EC_EMAS_ES2016(data2015)_en_final.pdf</w:t>
        </w:r>
      </w:hyperlink>
    </w:p>
    <w:p w14:paraId="4224AB4E" w14:textId="36AFBF9B" w:rsidR="0046759C" w:rsidRDefault="00000000" w:rsidP="0046759C">
      <w:pPr>
        <w:pStyle w:val="NormalWeb"/>
        <w:jc w:val="both"/>
        <w:rPr>
          <w:rFonts w:ascii="Arial" w:hAnsi="Arial" w:cs="Arial"/>
          <w:sz w:val="22"/>
          <w:szCs w:val="22"/>
          <w:lang w:val="es-ES"/>
        </w:rPr>
      </w:pPr>
      <w:hyperlink r:id="rId11" w:history="1">
        <w:r w:rsidR="0046759C" w:rsidRPr="00BF6720">
          <w:rPr>
            <w:rStyle w:val="Hipervnculo"/>
            <w:rFonts w:ascii="Arial" w:hAnsi="Arial" w:cs="Arial"/>
            <w:sz w:val="22"/>
            <w:szCs w:val="22"/>
            <w:lang w:val="es-ES"/>
          </w:rPr>
          <w:t>http://h22235.www2.hp.com/hpinfo/globalcitizenship/environment/productdata/Countries/_MultiCountry/iteco_deskto_2009625171637.pdf</w:t>
        </w:r>
      </w:hyperlink>
    </w:p>
    <w:p w14:paraId="202D23ED" w14:textId="77777777" w:rsidR="0046759C" w:rsidRDefault="0046759C" w:rsidP="0046759C">
      <w:pPr>
        <w:pStyle w:val="NormalWeb"/>
        <w:jc w:val="both"/>
        <w:rPr>
          <w:rFonts w:ascii="Arial" w:hAnsi="Arial" w:cs="Arial"/>
          <w:sz w:val="22"/>
          <w:szCs w:val="22"/>
          <w:lang w:val="es-ES"/>
        </w:rPr>
      </w:pPr>
    </w:p>
    <w:sectPr w:rsidR="004675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A54"/>
    <w:multiLevelType w:val="multilevel"/>
    <w:tmpl w:val="06A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0765"/>
    <w:multiLevelType w:val="multilevel"/>
    <w:tmpl w:val="C544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775F9"/>
    <w:multiLevelType w:val="multilevel"/>
    <w:tmpl w:val="4CB42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24745"/>
    <w:multiLevelType w:val="multilevel"/>
    <w:tmpl w:val="A78C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6802"/>
    <w:multiLevelType w:val="multilevel"/>
    <w:tmpl w:val="DA72F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ED523D"/>
    <w:multiLevelType w:val="multilevel"/>
    <w:tmpl w:val="8334E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9F5251"/>
    <w:multiLevelType w:val="multilevel"/>
    <w:tmpl w:val="8DC2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ED0C6D"/>
    <w:multiLevelType w:val="multilevel"/>
    <w:tmpl w:val="C8C2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265928">
    <w:abstractNumId w:val="7"/>
  </w:num>
  <w:num w:numId="2" w16cid:durableId="1128469469">
    <w:abstractNumId w:val="1"/>
  </w:num>
  <w:num w:numId="3" w16cid:durableId="788546559">
    <w:abstractNumId w:val="0"/>
  </w:num>
  <w:num w:numId="4" w16cid:durableId="478155391">
    <w:abstractNumId w:val="6"/>
  </w:num>
  <w:num w:numId="5" w16cid:durableId="1113397593">
    <w:abstractNumId w:val="3"/>
  </w:num>
  <w:num w:numId="6" w16cid:durableId="1843662622">
    <w:abstractNumId w:val="4"/>
  </w:num>
  <w:num w:numId="7" w16cid:durableId="1857496118">
    <w:abstractNumId w:val="5"/>
  </w:num>
  <w:num w:numId="8" w16cid:durableId="1422801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060"/>
    <w:rsid w:val="00013E1E"/>
    <w:rsid w:val="00027E4D"/>
    <w:rsid w:val="00052DF6"/>
    <w:rsid w:val="00082E3E"/>
    <w:rsid w:val="000A20B2"/>
    <w:rsid w:val="000D523C"/>
    <w:rsid w:val="000E0CCD"/>
    <w:rsid w:val="000E6794"/>
    <w:rsid w:val="00100212"/>
    <w:rsid w:val="00135DAD"/>
    <w:rsid w:val="00167693"/>
    <w:rsid w:val="001715BE"/>
    <w:rsid w:val="00184CE5"/>
    <w:rsid w:val="001A18C7"/>
    <w:rsid w:val="001E0180"/>
    <w:rsid w:val="001E24D8"/>
    <w:rsid w:val="00205857"/>
    <w:rsid w:val="002120B9"/>
    <w:rsid w:val="00232AA2"/>
    <w:rsid w:val="00267778"/>
    <w:rsid w:val="0028445B"/>
    <w:rsid w:val="0029747A"/>
    <w:rsid w:val="00297589"/>
    <w:rsid w:val="002B00B5"/>
    <w:rsid w:val="00304F8A"/>
    <w:rsid w:val="00321439"/>
    <w:rsid w:val="003250D3"/>
    <w:rsid w:val="00355D8D"/>
    <w:rsid w:val="0036263D"/>
    <w:rsid w:val="0040366A"/>
    <w:rsid w:val="00427BFE"/>
    <w:rsid w:val="00433828"/>
    <w:rsid w:val="00436AB8"/>
    <w:rsid w:val="004611F0"/>
    <w:rsid w:val="004628B2"/>
    <w:rsid w:val="00462E0D"/>
    <w:rsid w:val="0046759C"/>
    <w:rsid w:val="004B25F2"/>
    <w:rsid w:val="004F1CE2"/>
    <w:rsid w:val="0055315B"/>
    <w:rsid w:val="005B5CB6"/>
    <w:rsid w:val="005C500C"/>
    <w:rsid w:val="005F1B4F"/>
    <w:rsid w:val="00641712"/>
    <w:rsid w:val="006712E1"/>
    <w:rsid w:val="00681536"/>
    <w:rsid w:val="00683783"/>
    <w:rsid w:val="0069002C"/>
    <w:rsid w:val="006A6A65"/>
    <w:rsid w:val="006D4B82"/>
    <w:rsid w:val="007136F8"/>
    <w:rsid w:val="00741962"/>
    <w:rsid w:val="007B1F97"/>
    <w:rsid w:val="007B33A9"/>
    <w:rsid w:val="007F047A"/>
    <w:rsid w:val="007F138C"/>
    <w:rsid w:val="0082311A"/>
    <w:rsid w:val="0082792F"/>
    <w:rsid w:val="00831190"/>
    <w:rsid w:val="00872E9F"/>
    <w:rsid w:val="00882265"/>
    <w:rsid w:val="008852E6"/>
    <w:rsid w:val="00892018"/>
    <w:rsid w:val="008A6281"/>
    <w:rsid w:val="008C056F"/>
    <w:rsid w:val="008E1534"/>
    <w:rsid w:val="00904946"/>
    <w:rsid w:val="0092774C"/>
    <w:rsid w:val="0097684C"/>
    <w:rsid w:val="00982458"/>
    <w:rsid w:val="009D231B"/>
    <w:rsid w:val="009F0856"/>
    <w:rsid w:val="00A06424"/>
    <w:rsid w:val="00A126F8"/>
    <w:rsid w:val="00A22A63"/>
    <w:rsid w:val="00A27850"/>
    <w:rsid w:val="00A37D2D"/>
    <w:rsid w:val="00A83071"/>
    <w:rsid w:val="00AB55E5"/>
    <w:rsid w:val="00AF1E3E"/>
    <w:rsid w:val="00B020E4"/>
    <w:rsid w:val="00BA5A87"/>
    <w:rsid w:val="00BD3D06"/>
    <w:rsid w:val="00BD617B"/>
    <w:rsid w:val="00C07537"/>
    <w:rsid w:val="00C51B17"/>
    <w:rsid w:val="00C56127"/>
    <w:rsid w:val="00CC6067"/>
    <w:rsid w:val="00CD0012"/>
    <w:rsid w:val="00D53225"/>
    <w:rsid w:val="00D767CF"/>
    <w:rsid w:val="00D81C01"/>
    <w:rsid w:val="00DE250F"/>
    <w:rsid w:val="00E04514"/>
    <w:rsid w:val="00E117A6"/>
    <w:rsid w:val="00E11C03"/>
    <w:rsid w:val="00E2671F"/>
    <w:rsid w:val="00E70468"/>
    <w:rsid w:val="00E92D59"/>
    <w:rsid w:val="00EA6BF5"/>
    <w:rsid w:val="00EC75BB"/>
    <w:rsid w:val="00ED2020"/>
    <w:rsid w:val="00F24D7D"/>
    <w:rsid w:val="00F56337"/>
    <w:rsid w:val="00F9174E"/>
    <w:rsid w:val="00F93417"/>
    <w:rsid w:val="00F9592E"/>
    <w:rsid w:val="00FB6894"/>
    <w:rsid w:val="00FD09E7"/>
    <w:rsid w:val="00FD18D7"/>
    <w:rsid w:val="00FD7A00"/>
    <w:rsid w:val="00FE404E"/>
    <w:rsid w:val="00FE4060"/>
    <w:rsid w:val="00FE55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44AB"/>
  <w15:chartTrackingRefBased/>
  <w15:docId w15:val="{3A2857FC-E415-9647-98BB-79F3328A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4060"/>
    <w:pPr>
      <w:spacing w:before="100" w:beforeAutospacing="1" w:after="100" w:afterAutospacing="1"/>
    </w:pPr>
    <w:rPr>
      <w:rFonts w:ascii="Times New Roman" w:eastAsia="Times New Roman" w:hAnsi="Times New Roman" w:cs="Times New Roman"/>
      <w:lang w:eastAsia="en-GB"/>
    </w:rPr>
  </w:style>
  <w:style w:type="table" w:styleId="Tablaconcuadrcula">
    <w:name w:val="Table Grid"/>
    <w:basedOn w:val="Tablanormal"/>
    <w:uiPriority w:val="39"/>
    <w:rsid w:val="008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6759C"/>
    <w:rPr>
      <w:color w:val="0563C1" w:themeColor="hyperlink"/>
      <w:u w:val="single"/>
    </w:rPr>
  </w:style>
  <w:style w:type="character" w:styleId="Mencinsinresolver">
    <w:name w:val="Unresolved Mention"/>
    <w:basedOn w:val="Fuentedeprrafopredeter"/>
    <w:uiPriority w:val="99"/>
    <w:semiHidden/>
    <w:unhideWhenUsed/>
    <w:rsid w:val="0046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9359">
      <w:bodyDiv w:val="1"/>
      <w:marLeft w:val="0"/>
      <w:marRight w:val="0"/>
      <w:marTop w:val="0"/>
      <w:marBottom w:val="0"/>
      <w:divBdr>
        <w:top w:val="none" w:sz="0" w:space="0" w:color="auto"/>
        <w:left w:val="none" w:sz="0" w:space="0" w:color="auto"/>
        <w:bottom w:val="none" w:sz="0" w:space="0" w:color="auto"/>
        <w:right w:val="none" w:sz="0" w:space="0" w:color="auto"/>
      </w:divBdr>
    </w:div>
    <w:div w:id="330641316">
      <w:bodyDiv w:val="1"/>
      <w:marLeft w:val="0"/>
      <w:marRight w:val="0"/>
      <w:marTop w:val="0"/>
      <w:marBottom w:val="0"/>
      <w:divBdr>
        <w:top w:val="none" w:sz="0" w:space="0" w:color="auto"/>
        <w:left w:val="none" w:sz="0" w:space="0" w:color="auto"/>
        <w:bottom w:val="none" w:sz="0" w:space="0" w:color="auto"/>
        <w:right w:val="none" w:sz="0" w:space="0" w:color="auto"/>
      </w:divBdr>
    </w:div>
    <w:div w:id="561478873">
      <w:bodyDiv w:val="1"/>
      <w:marLeft w:val="0"/>
      <w:marRight w:val="0"/>
      <w:marTop w:val="0"/>
      <w:marBottom w:val="0"/>
      <w:divBdr>
        <w:top w:val="none" w:sz="0" w:space="0" w:color="auto"/>
        <w:left w:val="none" w:sz="0" w:space="0" w:color="auto"/>
        <w:bottom w:val="none" w:sz="0" w:space="0" w:color="auto"/>
        <w:right w:val="none" w:sz="0" w:space="0" w:color="auto"/>
      </w:divBdr>
    </w:div>
    <w:div w:id="800272246">
      <w:bodyDiv w:val="1"/>
      <w:marLeft w:val="0"/>
      <w:marRight w:val="0"/>
      <w:marTop w:val="0"/>
      <w:marBottom w:val="0"/>
      <w:divBdr>
        <w:top w:val="none" w:sz="0" w:space="0" w:color="auto"/>
        <w:left w:val="none" w:sz="0" w:space="0" w:color="auto"/>
        <w:bottom w:val="none" w:sz="0" w:space="0" w:color="auto"/>
        <w:right w:val="none" w:sz="0" w:space="0" w:color="auto"/>
      </w:divBdr>
    </w:div>
    <w:div w:id="1084499934">
      <w:bodyDiv w:val="1"/>
      <w:marLeft w:val="0"/>
      <w:marRight w:val="0"/>
      <w:marTop w:val="0"/>
      <w:marBottom w:val="0"/>
      <w:divBdr>
        <w:top w:val="none" w:sz="0" w:space="0" w:color="auto"/>
        <w:left w:val="none" w:sz="0" w:space="0" w:color="auto"/>
        <w:bottom w:val="none" w:sz="0" w:space="0" w:color="auto"/>
        <w:right w:val="none" w:sz="0" w:space="0" w:color="auto"/>
      </w:divBdr>
    </w:div>
    <w:div w:id="1116372028">
      <w:bodyDiv w:val="1"/>
      <w:marLeft w:val="0"/>
      <w:marRight w:val="0"/>
      <w:marTop w:val="0"/>
      <w:marBottom w:val="0"/>
      <w:divBdr>
        <w:top w:val="none" w:sz="0" w:space="0" w:color="auto"/>
        <w:left w:val="none" w:sz="0" w:space="0" w:color="auto"/>
        <w:bottom w:val="none" w:sz="0" w:space="0" w:color="auto"/>
        <w:right w:val="none" w:sz="0" w:space="0" w:color="auto"/>
      </w:divBdr>
      <w:divsChild>
        <w:div w:id="2062704798">
          <w:marLeft w:val="0"/>
          <w:marRight w:val="0"/>
          <w:marTop w:val="0"/>
          <w:marBottom w:val="0"/>
          <w:divBdr>
            <w:top w:val="none" w:sz="0" w:space="0" w:color="auto"/>
            <w:left w:val="none" w:sz="0" w:space="0" w:color="auto"/>
            <w:bottom w:val="none" w:sz="0" w:space="0" w:color="auto"/>
            <w:right w:val="none" w:sz="0" w:space="0" w:color="auto"/>
          </w:divBdr>
          <w:divsChild>
            <w:div w:id="112329231">
              <w:marLeft w:val="0"/>
              <w:marRight w:val="0"/>
              <w:marTop w:val="0"/>
              <w:marBottom w:val="0"/>
              <w:divBdr>
                <w:top w:val="none" w:sz="0" w:space="0" w:color="auto"/>
                <w:left w:val="none" w:sz="0" w:space="0" w:color="auto"/>
                <w:bottom w:val="none" w:sz="0" w:space="0" w:color="auto"/>
                <w:right w:val="none" w:sz="0" w:space="0" w:color="auto"/>
              </w:divBdr>
              <w:divsChild>
                <w:div w:id="2428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novo.com/medias/Lenovo-V310Z.pdf?context=bWFzdGVyfHJvb3R8NTE4NTA3fGFwcGxpY2F0aW9uL3BkZnxoYWUvaGNkLzk0ODYxODM4NTgyMDYucGRmfDViYjkwNGYzMTA5MGZlYThkMWRiYzM4YWFmOWI2NDQzMjY4YWE2ZTYwYzJhYzRjN2RkODAwNDQ5YTU4MzZhMW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ll.com/es-es/dt/corporate/social-impact/advancing-sustainability/sustainable-products-and-services/energy-efficiency.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h22235.www2.hp.com/hpinfo/globalcitizenship/environment/productdata/Countries/_MultiCountry/iteco_deskto_2009625171637.pdf" TargetMode="External"/><Relationship Id="rId5" Type="http://schemas.openxmlformats.org/officeDocument/2006/relationships/image" Target="media/image1.emf"/><Relationship Id="rId10" Type="http://schemas.openxmlformats.org/officeDocument/2006/relationships/hyperlink" Target="http://ec.europa.eu/environment/emas/pdf/other/EC_EMAS_ES2016(data2015)_en_final.pdf" TargetMode="External"/><Relationship Id="rId4" Type="http://schemas.openxmlformats.org/officeDocument/2006/relationships/webSettings" Target="webSettings.xml"/><Relationship Id="rId9" Type="http://schemas.openxmlformats.org/officeDocument/2006/relationships/hyperlink" Target="http://h22235.www2.hp.com/hpinfo/globalcitizenship/environment/productdata/Countries/_MultiCountry/iteco_deskto_201861423930924.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uario\Downloads\ConsumoEnerg&#237;aPCs-Trimestre-1-2023.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s-CO"/>
              <a:t>Consumo</a:t>
            </a:r>
            <a:r>
              <a:rPr lang="es-CO" baseline="0"/>
              <a:t> kwh/Trimestre 1-2023</a:t>
            </a:r>
            <a:endParaRPr lang="es-CO"/>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Consolidado!$B$4:$B$13</c:f>
              <c:strCache>
                <c:ptCount val="10"/>
                <c:pt idx="0">
                  <c:v>HP 23-n010la</c:v>
                </c:pt>
                <c:pt idx="1">
                  <c:v>ACER Aspire ZC-610</c:v>
                </c:pt>
                <c:pt idx="2">
                  <c:v>Clon - Janus Core i7</c:v>
                </c:pt>
                <c:pt idx="3">
                  <c:v>Lenovo THINKCENTRE M700 SFF</c:v>
                </c:pt>
                <c:pt idx="4">
                  <c:v>HP EliteOne 800 G4 23.8-in Non-Touch AiO</c:v>
                </c:pt>
                <c:pt idx="5">
                  <c:v>HP PRO ONE 400 G6 20</c:v>
                </c:pt>
                <c:pt idx="6">
                  <c:v>LENOVO AIO - 300</c:v>
                </c:pt>
                <c:pt idx="7">
                  <c:v>HP EliteDesk 705 G4</c:v>
                </c:pt>
                <c:pt idx="8">
                  <c:v>HP Z2</c:v>
                </c:pt>
                <c:pt idx="9">
                  <c:v>DELL VOSTRO 3710</c:v>
                </c:pt>
              </c:strCache>
            </c:strRef>
          </c:cat>
          <c:val>
            <c:numRef>
              <c:f>Consolidado!$F$4:$F$13</c:f>
              <c:numCache>
                <c:formatCode>#,##0.0_ ;\-#,##0.0\ </c:formatCode>
                <c:ptCount val="10"/>
                <c:pt idx="0">
                  <c:v>1000.58232</c:v>
                </c:pt>
                <c:pt idx="1">
                  <c:v>1808.712</c:v>
                </c:pt>
                <c:pt idx="2">
                  <c:v>209.45523539999999</c:v>
                </c:pt>
                <c:pt idx="3">
                  <c:v>305.75675999999999</c:v>
                </c:pt>
                <c:pt idx="4">
                  <c:v>877.04202600000008</c:v>
                </c:pt>
                <c:pt idx="5">
                  <c:v>521.30610000000001</c:v>
                </c:pt>
                <c:pt idx="6">
                  <c:v>308.33193600000004</c:v>
                </c:pt>
                <c:pt idx="7">
                  <c:v>1263.9934788</c:v>
                </c:pt>
                <c:pt idx="8">
                  <c:v>196.19062799999998</c:v>
                </c:pt>
                <c:pt idx="9">
                  <c:v>5344.5971699999991</c:v>
                </c:pt>
              </c:numCache>
            </c:numRef>
          </c:val>
          <c:extLst>
            <c:ext xmlns:c16="http://schemas.microsoft.com/office/drawing/2014/chart" uri="{C3380CC4-5D6E-409C-BE32-E72D297353CC}">
              <c16:uniqueId val="{00000000-C997-4C10-AB80-D761CBB82454}"/>
            </c:ext>
          </c:extLst>
        </c:ser>
        <c:dLbls>
          <c:showLegendKey val="0"/>
          <c:showVal val="0"/>
          <c:showCatName val="0"/>
          <c:showSerName val="0"/>
          <c:showPercent val="0"/>
          <c:showBubbleSize val="0"/>
        </c:dLbls>
        <c:gapWidth val="150"/>
        <c:shape val="box"/>
        <c:axId val="1228555168"/>
        <c:axId val="1243765888"/>
        <c:axId val="0"/>
      </c:bar3DChart>
      <c:catAx>
        <c:axId val="1228555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243765888"/>
        <c:crosses val="autoZero"/>
        <c:auto val="1"/>
        <c:lblAlgn val="ctr"/>
        <c:lblOffset val="100"/>
        <c:noMultiLvlLbl val="0"/>
      </c:catAx>
      <c:valAx>
        <c:axId val="1243765888"/>
        <c:scaling>
          <c:orientation val="minMax"/>
        </c:scaling>
        <c:delete val="0"/>
        <c:axPos val="l"/>
        <c:majorGridlines>
          <c:spPr>
            <a:ln w="9525" cap="flat" cmpd="sng" algn="ctr">
              <a:solidFill>
                <a:schemeClr val="dk1">
                  <a:lumMod val="50000"/>
                  <a:lumOff val="50000"/>
                </a:schemeClr>
              </a:solidFill>
              <a:round/>
            </a:ln>
            <a:effectLst/>
          </c:spPr>
        </c:majorGridlines>
        <c:numFmt formatCode="#,##0.0_ ;\-#,##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s-CO"/>
          </a:p>
        </c:txPr>
        <c:crossAx val="122855516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4389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Felipe Ortiz Fuentes</dc:creator>
  <cp:keywords/>
  <dc:description/>
  <cp:lastModifiedBy>dayana guerrero</cp:lastModifiedBy>
  <cp:revision>2</cp:revision>
  <dcterms:created xsi:type="dcterms:W3CDTF">2023-05-26T20:16:00Z</dcterms:created>
  <dcterms:modified xsi:type="dcterms:W3CDTF">2023-05-26T20:16:00Z</dcterms:modified>
</cp:coreProperties>
</file>