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tabs>
          <w:tab w:val="clear" w:pos="708"/>
          <w:tab w:val="center" w:pos="4561" w:leader="none"/>
        </w:tabs>
        <w:ind w:left="708" w:hanging="0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bookmarkStart w:id="0" w:name="_Hlk138430468"/>
      <w:bookmarkEnd w:id="0"/>
      <w:r>
        <w:rPr>
          <w:rFonts w:ascii="Verdana" w:hAnsi="Verdana"/>
          <w:b/>
          <w:i w:val="false"/>
          <w:sz w:val="22"/>
          <w:szCs w:val="22"/>
          <w:lang w:eastAsia="es-CO"/>
        </w:rPr>
        <w:tab/>
        <w:t xml:space="preserve">CONTADURÍA GENERAL DE LA NACIÓN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708" w:hanging="0"/>
        <w:jc w:val="center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  <w:t>SUBCONTADURÍA DE CENTRALIZACIÓN DE LA INFORMACIÓN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708" w:hanging="0"/>
        <w:jc w:val="center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  <w:t>GIT SISTEMAS DE INFORMACIÓN INTEGRADOS NACIONALES - SIIN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708" w:hanging="0"/>
        <w:jc w:val="center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708" w:hanging="0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  <w:t>IDENTIFICAR  LA NORMA, CONCEPTO, DOCTRINA, SOLICITUDES,  LAS COMUNICACIONES Y  EL HECHO CON EL QUE SE VA A IMPLEMENTAR ( Ejemplo: IMPLEMENTACIÓN EN EL SIIF NACIÓN LA RESOLUCIÓN 634 DE 2014POR LA CUAL SE INCORPORA EL PROCEDIMIENTO CONTABLE PARA EL RECONOCIMIENTO Y REVELACIÓN DE LOS HECHOS RELACIONADOS CON LOS FONDOS DE RESERVAS DE PENSIONES)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708" w:hanging="0"/>
        <w:jc w:val="center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  <w:t>Fecha dd/mm/aaaa</w:t>
      </w:r>
    </w:p>
    <w:p>
      <w:pPr>
        <w:pStyle w:val="Normal"/>
        <w:tabs>
          <w:tab w:val="clear" w:pos="708"/>
          <w:tab w:val="left" w:pos="8701" w:leader="none"/>
        </w:tabs>
        <w:spacing w:before="0" w:after="0"/>
        <w:contextualSpacing/>
        <w:rPr>
          <w:rFonts w:ascii="Verdana" w:hAnsi="Verdana" w:cs="Calibri"/>
          <w:b/>
          <w:i w:val="false"/>
          <w:i w:val="false"/>
          <w:sz w:val="22"/>
          <w:szCs w:val="22"/>
        </w:rPr>
      </w:pPr>
      <w:r>
        <w:rPr>
          <w:rFonts w:cs="Calibri" w:ascii="Verdana" w:hAnsi="Verdana"/>
          <w:b/>
          <w:i w:val="false"/>
          <w:sz w:val="22"/>
          <w:szCs w:val="22"/>
        </w:rPr>
      </w:r>
    </w:p>
    <w:p>
      <w:pPr>
        <w:pStyle w:val="Normal"/>
        <w:jc w:val="center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  <w:t>OBJETIVO:</w:t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  <w:t xml:space="preserve">Corresponde al “qué”, “Cómo “y “para qué”, </w:t>
      </w:r>
    </w:p>
    <w:p>
      <w:pPr>
        <w:pStyle w:val="Normal"/>
        <w:ind w:left="284" w:hanging="0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</w:r>
    </w:p>
    <w:p>
      <w:pPr>
        <w:pStyle w:val="Normal"/>
        <w:suppressAutoHyphens w:val="false"/>
        <w:ind w:right="49" w:hanging="0"/>
        <w:rPr>
          <w:rFonts w:ascii="Verdana" w:hAnsi="Verdana"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i w:val="false"/>
          <w:sz w:val="22"/>
          <w:szCs w:val="22"/>
          <w:lang w:eastAsia="es-CO"/>
        </w:rPr>
        <w:t xml:space="preserve">Ejemplo: </w:t>
      </w:r>
      <w:r>
        <w:rPr>
          <w:rFonts w:ascii="Verdana" w:hAnsi="Verdana"/>
          <w:b/>
          <w:i w:val="false"/>
          <w:sz w:val="22"/>
          <w:szCs w:val="22"/>
          <w:lang w:eastAsia="es-CO"/>
        </w:rPr>
        <w:t>Definir</w:t>
      </w:r>
      <w:r>
        <w:rPr>
          <w:rFonts w:ascii="Verdana" w:hAnsi="Verdana"/>
          <w:i w:val="false"/>
          <w:sz w:val="22"/>
          <w:szCs w:val="22"/>
          <w:lang w:eastAsia="es-CO"/>
        </w:rPr>
        <w:t>, en el Sistema Integrado de Información Financiera-SIIF Nación, el procedimiento contable para el reconocimiento y revelación de los hechos relacionados con los fondos de reservas de pensiones, de conformidad con las funcionalidades de que dispone el sistema y las normas</w:t>
      </w:r>
      <w:r>
        <w:rPr>
          <w:rFonts w:ascii="Verdana" w:hAnsi="Verdana"/>
          <w:i w:val="false"/>
          <w:sz w:val="22"/>
          <w:szCs w:val="22"/>
        </w:rPr>
        <w:t xml:space="preserve"> que regulan la gestión financiera, </w:t>
      </w:r>
      <w:r>
        <w:rPr>
          <w:rFonts w:ascii="Verdana" w:hAnsi="Verdana"/>
          <w:b/>
          <w:i w:val="false"/>
          <w:sz w:val="22"/>
          <w:szCs w:val="22"/>
        </w:rPr>
        <w:t>con el propósito</w:t>
      </w:r>
      <w:r>
        <w:rPr>
          <w:rFonts w:ascii="Verdana" w:hAnsi="Verdana"/>
          <w:i w:val="false"/>
          <w:sz w:val="22"/>
          <w:szCs w:val="22"/>
        </w:rPr>
        <w:t xml:space="preserve"> de que la información contable pública cumpla con las características, principios, normas técnicas y procedimentales.</w:t>
      </w:r>
    </w:p>
    <w:p>
      <w:pPr>
        <w:pStyle w:val="Normal"/>
        <w:suppressAutoHyphens w:val="false"/>
        <w:ind w:left="284" w:right="1183" w:hanging="0"/>
        <w:rPr>
          <w:rFonts w:ascii="Verdana" w:hAnsi="Verdana"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i w:val="false"/>
          <w:sz w:val="22"/>
          <w:szCs w:val="22"/>
          <w:lang w:eastAsia="es-CO"/>
        </w:rPr>
      </w:r>
    </w:p>
    <w:p>
      <w:pPr>
        <w:pStyle w:val="Normal"/>
        <w:jc w:val="center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  <w:t>ANTECEDENTES</w:t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  <w:t xml:space="preserve">Relaciona la norma, concepto, doctrina, solicitudes,  las comunicaciones  que soportan  el hecho con el que se va a implementar y que le permiten concluir la definición contable. </w:t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  <w:t>Ejemplo:</w:t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  <w:lang w:eastAsia="es-CO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</w:r>
    </w:p>
    <w:p>
      <w:pPr>
        <w:pStyle w:val="Normal"/>
        <w:suppressAutoHyphens w:val="false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  <w:lang w:eastAsia="es-CO"/>
        </w:rPr>
        <w:t>1.- La Resolución 634 del 19 de diciembre de 2014,</w:t>
      </w:r>
      <w:r>
        <w:rPr>
          <w:rFonts w:ascii="Verdana" w:hAnsi="Verdana"/>
          <w:i w:val="false"/>
          <w:sz w:val="22"/>
          <w:szCs w:val="22"/>
          <w:lang w:eastAsia="es-CO"/>
        </w:rPr>
        <w:t xml:space="preserve"> </w:t>
      </w:r>
      <w:r>
        <w:rPr>
          <w:rFonts w:ascii="Verdana" w:hAnsi="Verdana"/>
          <w:sz w:val="22"/>
          <w:szCs w:val="22"/>
          <w:lang w:eastAsia="es-CO"/>
        </w:rPr>
        <w:t>“Por la cual se modifica el Manual de Proced</w:t>
      </w:r>
      <w:r>
        <w:rPr>
          <w:rFonts w:ascii="Verdana" w:hAnsi="Verdana"/>
          <w:sz w:val="22"/>
          <w:szCs w:val="22"/>
        </w:rPr>
        <w:t xml:space="preserve">imientos del Régimen de Contabilidad Pública, incorporando el Procedimiento contable para el reconocimiento y revelación de los hechos relacionados con los fondos de reservas de pensiones y se dictan otras disposiciones”, </w:t>
      </w:r>
      <w:r>
        <w:rPr>
          <w:rFonts w:ascii="Verdana" w:hAnsi="Verdana"/>
          <w:i w:val="false"/>
          <w:sz w:val="22"/>
          <w:szCs w:val="22"/>
        </w:rPr>
        <w:t>establece:</w:t>
      </w:r>
    </w:p>
    <w:p>
      <w:pPr>
        <w:pStyle w:val="Normal"/>
        <w:suppressAutoHyphens w:val="fals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suppressAutoHyphens w:val="false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 xml:space="preserve">2. Ley 1753 de 2015, </w:t>
      </w:r>
      <w:r>
        <w:rPr>
          <w:rFonts w:ascii="Verdana" w:hAnsi="Verdana"/>
          <w:b/>
          <w:i w:val="false"/>
          <w:color w:val="333333"/>
          <w:sz w:val="22"/>
          <w:szCs w:val="22"/>
          <w:shd w:fill="FFFFFF" w:val="clear"/>
        </w:rPr>
        <w:t>Por la cual se expide el Plan Nacional de Desarrollo 2014-2018 "Todos por un nuevo país"</w:t>
      </w:r>
    </w:p>
    <w:p>
      <w:pPr>
        <w:pStyle w:val="Normal"/>
        <w:suppressAutoHyphens w:val="false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</w:r>
    </w:p>
    <w:p>
      <w:pPr>
        <w:pStyle w:val="Normal"/>
        <w:shd w:val="clear" w:color="auto" w:fill="FFFFFF"/>
        <w:suppressAutoHyphens w:val="false"/>
        <w:rPr>
          <w:rFonts w:ascii="Verdana" w:hAnsi="Verdana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  <w:t>El Artículo 78 de la citada ley, con relación a la supresión de cuotas partes pensionales, establece que: “</w:t>
      </w:r>
      <w:r>
        <w:rPr>
          <w:rFonts w:ascii="Verdana" w:hAnsi="Verdana"/>
          <w:sz w:val="22"/>
          <w:szCs w:val="22"/>
        </w:rPr>
        <w:t>Las entidades públicas del orden nacional que formen parte del Presupuesto General de la Nación, cualquiera sea su naturaleza, y Colpensiones, suprimirán las obligaciones por concepto de cuotas partes pensionales. Esta posibilidad aplicará tanto para las cuotas causadas como a las que a futuro se causen. Para el efecto, las entidades harán el reconocimiento contable y la respectiva anotación en los estados financieros.</w:t>
      </w:r>
    </w:p>
    <w:p>
      <w:pPr>
        <w:pStyle w:val="Normal"/>
        <w:shd w:val="clear" w:color="auto" w:fill="FFFFFF"/>
        <w:suppressAutoHyphens w:val="false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</w:r>
    </w:p>
    <w:p>
      <w:pPr>
        <w:pStyle w:val="Normal"/>
        <w:suppressAutoHyphens w:val="false"/>
        <w:spacing w:lineRule="auto" w:line="276" w:before="0" w:after="200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>3. Doctrina contable pública, relacionada con el artículo 7° de la Resolución 634 de 2014</w:t>
      </w:r>
    </w:p>
    <w:p>
      <w:pPr>
        <w:pStyle w:val="Normal"/>
        <w:suppressAutoHyphens w:val="false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>El Concepto No. 20152000032071,</w:t>
      </w:r>
      <w:r>
        <w:rPr>
          <w:rFonts w:ascii="Verdana" w:hAnsi="Verdana"/>
          <w:i w:val="false"/>
          <w:sz w:val="22"/>
          <w:szCs w:val="22"/>
        </w:rPr>
        <w:t xml:space="preserve"> expedido por la CGN el 28 de julio de 2015, al Fondo de Previsión Social del Congreso de la República-Fonprecon, establece el procedimiento para la eliminación de las cuotas partes pensionales,  a las que se refiere el artículo 78 de la Ley 1753 de 2015</w:t>
      </w:r>
      <w:r>
        <w:rPr>
          <w:rFonts w:ascii="Verdana" w:hAnsi="Verdana"/>
          <w:sz w:val="22"/>
          <w:szCs w:val="22"/>
        </w:rPr>
        <w:t xml:space="preserve">: “(…), las entidades del orden nacional que forman parte del Presupuesto General de la Nación, </w:t>
      </w:r>
      <w:r>
        <w:rPr>
          <w:rFonts w:ascii="Verdana" w:hAnsi="Verdana"/>
          <w:sz w:val="22"/>
          <w:szCs w:val="22"/>
          <w:u w:val="single"/>
        </w:rPr>
        <w:t>suprimirán las obligaciones por</w:t>
      </w:r>
      <w:r>
        <w:rPr>
          <w:rFonts w:ascii="Verdana" w:hAnsi="Verdana"/>
          <w:sz w:val="22"/>
          <w:szCs w:val="22"/>
        </w:rPr>
        <w:t xml:space="preserve"> concepto de cuotas partes pensionales reconocidas actualmente, </w:t>
      </w:r>
      <w:r>
        <w:rPr>
          <w:rFonts w:ascii="Verdana" w:hAnsi="Verdana"/>
          <w:sz w:val="22"/>
          <w:szCs w:val="22"/>
          <w:u w:val="single"/>
        </w:rPr>
        <w:t>y a futuro no se causarán</w:t>
      </w:r>
      <w:r>
        <w:rPr>
          <w:rFonts w:ascii="Verdana" w:hAnsi="Verdana"/>
          <w:sz w:val="22"/>
          <w:szCs w:val="22"/>
        </w:rPr>
        <w:t xml:space="preserve">, para lo cual la entidad deberá, respecto de los derechos y obligaciones ya reconocidos, </w:t>
      </w:r>
      <w:r>
        <w:rPr>
          <w:rFonts w:ascii="Verdana" w:hAnsi="Verdana"/>
          <w:sz w:val="22"/>
          <w:szCs w:val="22"/>
          <w:u w:val="single"/>
        </w:rPr>
        <w:t>conciliar con las entidades objeto</w:t>
      </w:r>
      <w:r>
        <w:rPr>
          <w:rFonts w:ascii="Verdana" w:hAnsi="Verdana"/>
          <w:sz w:val="22"/>
          <w:szCs w:val="22"/>
        </w:rPr>
        <w:t xml:space="preserve"> de reclamación o pago, así como elaborar un procedimiento interno sustentado en la Ley, con el objeto de realizar un proceso organizado </w:t>
      </w:r>
      <w:r>
        <w:rPr>
          <w:rFonts w:ascii="Verdana" w:hAnsi="Verdana"/>
          <w:i w:val="false"/>
          <w:sz w:val="22"/>
          <w:szCs w:val="22"/>
        </w:rPr>
        <w:t>(…)”. (Subrayado fuera de texto)</w:t>
      </w:r>
    </w:p>
    <w:p>
      <w:pPr>
        <w:pStyle w:val="Normal"/>
        <w:suppressAutoHyphens w:val="false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</w:r>
    </w:p>
    <w:p>
      <w:pPr>
        <w:pStyle w:val="Normal"/>
        <w:suppressAutoHyphens w:val="false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>4.-Solicitud de “Tipos de Operación” o rubros presupuestales de gastos por concepto de mesadas pensionales, bonos pensionales, cuotas partes y auxilio funerario</w:t>
      </w:r>
    </w:p>
    <w:p>
      <w:pPr>
        <w:pStyle w:val="Normal"/>
        <w:suppressAutoHyphens w:val="false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</w:r>
    </w:p>
    <w:p>
      <w:pPr>
        <w:pStyle w:val="Normal"/>
        <w:suppressAutoHyphens w:val="false"/>
        <w:rPr>
          <w:rFonts w:ascii="Verdana" w:hAnsi="Verdana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  <w:t>El 1 de diciembre de 2015, el Ministerio de Hacienda y Crédito Público-MHCP, responde a la solicitud de la CGN realizada el 27 de abril de 2015, así:</w:t>
      </w:r>
      <w:r>
        <w:rPr>
          <w:rFonts w:ascii="Verdana" w:hAnsi="Verdana"/>
          <w:sz w:val="22"/>
          <w:szCs w:val="22"/>
        </w:rPr>
        <w:t xml:space="preserve"> “Atendiendo el requerimiento de la referencia, nos permitimos informarles que la opción propuesta, </w:t>
      </w:r>
      <w:r>
        <w:rPr>
          <w:rFonts w:ascii="Verdana" w:hAnsi="Verdana"/>
          <w:sz w:val="22"/>
          <w:szCs w:val="22"/>
          <w:u w:val="single"/>
        </w:rPr>
        <w:t>de crear dos tipos de operación a cada rubro, no es viable</w:t>
      </w:r>
      <w:r>
        <w:rPr>
          <w:rFonts w:ascii="Verdana" w:hAnsi="Verdana"/>
          <w:sz w:val="22"/>
          <w:szCs w:val="22"/>
        </w:rPr>
        <w:t xml:space="preserve">, dado que el sistema tiene definido que a cada rubro solo se debe relacionar un tipo de operación.  Se analizó la necesidad en las resoluciones mencionadas y </w:t>
      </w:r>
      <w:r>
        <w:rPr>
          <w:rFonts w:ascii="Verdana" w:hAnsi="Verdana"/>
          <w:sz w:val="22"/>
          <w:szCs w:val="22"/>
          <w:u w:val="single"/>
        </w:rPr>
        <w:t>vemos que es viable ofrecerles la desagregación de los rubros</w:t>
      </w:r>
      <w:r>
        <w:rPr>
          <w:rFonts w:ascii="Verdana" w:hAnsi="Verdana"/>
          <w:sz w:val="22"/>
          <w:szCs w:val="22"/>
        </w:rPr>
        <w:t xml:space="preserve"> referidos; los cuales será previsto </w:t>
      </w:r>
      <w:r>
        <w:rPr>
          <w:rFonts w:ascii="Verdana" w:hAnsi="Verdana"/>
          <w:sz w:val="22"/>
          <w:szCs w:val="22"/>
          <w:u w:val="single"/>
        </w:rPr>
        <w:t>a partir del 1 enero del 2016</w:t>
      </w:r>
      <w:r>
        <w:rPr>
          <w:rFonts w:ascii="Verdana" w:hAnsi="Verdana"/>
          <w:sz w:val="22"/>
          <w:szCs w:val="22"/>
        </w:rPr>
        <w:t>.  Pues en las pruebas realizadas en la actual vigencia, se nos afectan los reportes, la gestión que actualmente están adelantando varias entidades y su posible traslado de documentos.</w:t>
      </w:r>
    </w:p>
    <w:p>
      <w:pPr>
        <w:pStyle w:val="Normal"/>
        <w:shd w:val="clear" w:color="auto" w:fill="FFFFFF"/>
        <w:suppressAutoHyphens w:val="false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suppressAutoHyphens w:val="false"/>
        <w:spacing w:lineRule="auto" w:line="276" w:before="0" w:after="200"/>
        <w:jc w:val="center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>CLASIFICACIÓN DE LOS DEMÁS MACROPROCESOS</w:t>
      </w:r>
    </w:p>
    <w:p>
      <w:pPr>
        <w:pStyle w:val="Normal"/>
        <w:suppressAutoHyphens w:val="false"/>
        <w:spacing w:lineRule="auto" w:line="276" w:before="0" w:after="200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>Cite aquí toda la información de los demás macroprocesos que debe integrar en el procedimiento contable</w:t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>Ejemplo:</w:t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</w:r>
    </w:p>
    <w:p>
      <w:pPr>
        <w:pStyle w:val="Normal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 xml:space="preserve">Rubros de ingresos. </w:t>
      </w:r>
      <w:r>
        <w:rPr>
          <w:rFonts w:ascii="Verdana" w:hAnsi="Verdana"/>
          <w:i w:val="false"/>
          <w:sz w:val="22"/>
          <w:szCs w:val="22"/>
        </w:rPr>
        <w:t>En el presupuesto de ingresos, se identifican los siguientes rubros utilizados por los fondos de reservas de pensiones.</w:t>
      </w:r>
    </w:p>
    <w:p>
      <w:pPr>
        <w:pStyle w:val="Normal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</w:r>
    </w:p>
    <w:p>
      <w:pPr>
        <w:pStyle w:val="Normal"/>
        <w:shd w:val="clear" w:color="auto" w:fill="FFFFFF"/>
        <w:rPr>
          <w:rFonts w:ascii="Verdana" w:hAnsi="Verdana" w:cs="Arial"/>
          <w:i w:val="false"/>
          <w:i w:val="false"/>
          <w:color w:val="222222"/>
          <w:sz w:val="22"/>
          <w:szCs w:val="22"/>
          <w:lang w:val="es-ES" w:eastAsia="es-ES"/>
        </w:rPr>
      </w:pPr>
      <w:r>
        <w:rPr>
          <w:rFonts w:ascii="Verdana" w:hAnsi="Verdana"/>
          <w:i w:val="false"/>
          <w:sz w:val="22"/>
          <w:szCs w:val="22"/>
        </w:rPr>
        <w:t>El rubro ingresos 3-1-2-4-2 Aportes patronales-Otros aportes, es utilizado por el Fondo de Previsión Social del Congreso de la República- Fonprecon.</w:t>
      </w:r>
    </w:p>
    <w:p>
      <w:pPr>
        <w:pStyle w:val="Normal"/>
        <w:shd w:val="clear" w:color="auto" w:fill="FFFFFF"/>
        <w:suppressAutoHyphens w:val="false"/>
        <w:jc w:val="left"/>
        <w:rPr>
          <w:rFonts w:ascii="Verdana" w:hAnsi="Verdana" w:cs="Arial"/>
          <w:i w:val="false"/>
          <w:i w:val="false"/>
          <w:color w:val="222222"/>
          <w:sz w:val="22"/>
          <w:szCs w:val="22"/>
          <w:lang w:val="es-ES" w:eastAsia="es-ES"/>
        </w:rPr>
      </w:pPr>
      <w:r>
        <w:rPr>
          <w:rFonts w:cs="Arial" w:ascii="Verdana" w:hAnsi="Verdana"/>
          <w:i w:val="false"/>
          <w:color w:val="222222"/>
          <w:sz w:val="22"/>
          <w:szCs w:val="22"/>
          <w:lang w:val="es-ES" w:eastAsia="es-ES"/>
        </w:rPr>
        <w:t> </w:t>
      </w:r>
    </w:p>
    <w:p>
      <w:pPr>
        <w:pStyle w:val="Normal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  <w:t>El rubro 3-1-2-5-2-Aportes de afiliados-Otros aportes, es utilizado por la Caja de Sueldos de Retiro de la Policía Nacional (Casur) y corresponde al 1% de descuento a los afiliados, para ser utilizados en el bienestar social de los pensionados.</w:t>
      </w:r>
    </w:p>
    <w:p>
      <w:pPr>
        <w:pStyle w:val="Normal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>Unidad ejecutora y rubros de gastos</w:t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</w:r>
    </w:p>
    <w:p>
      <w:pPr>
        <w:pStyle w:val="Normal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  <w:t>En el Presupuesto General de la Nación, se identifican los conceptos de pensiones en los siguientes rubros de gastos y unidades ejecutoras del presupuesto.</w:t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</w:r>
    </w:p>
    <w:p>
      <w:pPr>
        <w:pStyle w:val="Normal"/>
        <w:jc w:val="center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>PROCEDIMIENTO CONTABLE</w:t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>Con los antecedentes y la información de los demás macroprocesos defina el procedimiento contable, que incluye el ámbito de aplicación, la definición de las tablas con explicación de los valores dados a cada marca y los tipos de registro, se incluye la imagen de las tablas de eventos.</w:t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 xml:space="preserve">Ejemplo: </w:t>
      </w:r>
    </w:p>
    <w:p>
      <w:pPr>
        <w:pStyle w:val="Normal"/>
        <w:rPr>
          <w:rFonts w:ascii="Verdana" w:hAnsi="Verdana"/>
          <w:b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</w:r>
    </w:p>
    <w:p>
      <w:pPr>
        <w:pStyle w:val="Normal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 xml:space="preserve">1.-Ámbito de aplicación. </w:t>
      </w:r>
      <w:r>
        <w:rPr>
          <w:rFonts w:ascii="Verdana" w:hAnsi="Verdana"/>
          <w:i w:val="false"/>
          <w:sz w:val="22"/>
          <w:szCs w:val="22"/>
        </w:rPr>
        <w:t xml:space="preserve">Las Entidades Contables Públicas-ECP, que corresponden a fondos de reservas y se encuentran en el ámbito del SIIF-Nación, son: </w:t>
      </w:r>
    </w:p>
    <w:p>
      <w:pPr>
        <w:pStyle w:val="Normal"/>
        <w:suppressAutoHyphens w:val="false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</w:r>
    </w:p>
    <w:p>
      <w:pPr>
        <w:pStyle w:val="Normal"/>
        <w:suppressAutoHyphens w:val="false"/>
        <w:rPr>
          <w:rFonts w:ascii="Verdana" w:hAnsi="Verdana"/>
          <w:i w:val="false"/>
          <w:i w:val="false"/>
          <w:color w:val="FF0000"/>
          <w:sz w:val="22"/>
          <w:szCs w:val="22"/>
        </w:rPr>
      </w:pPr>
      <w:r>
        <w:rPr>
          <w:rFonts w:ascii="Verdana" w:hAnsi="Verdana"/>
          <w:b/>
          <w:i w:val="false"/>
          <w:sz w:val="22"/>
          <w:szCs w:val="22"/>
        </w:rPr>
        <w:t xml:space="preserve">2. Definición del Catálogo Contable. </w:t>
      </w:r>
      <w:r>
        <w:rPr>
          <w:rFonts w:ascii="Verdana" w:hAnsi="Verdana"/>
          <w:i w:val="false"/>
          <w:sz w:val="22"/>
          <w:szCs w:val="22"/>
        </w:rPr>
        <w:t>Se crean las siguientes cuentas y subcuentas, en la tabla de eventos TCON01-Catálogo contable y TCON06- Relación catálogo contable - Auxiliares</w:t>
      </w:r>
      <w:r>
        <w:rPr>
          <w:rFonts w:ascii="Verdana" w:hAnsi="Verdana"/>
          <w:b/>
          <w:i w:val="false"/>
          <w:sz w:val="22"/>
          <w:szCs w:val="22"/>
        </w:rPr>
        <w:t>:</w:t>
      </w:r>
    </w:p>
    <w:p>
      <w:pPr>
        <w:pStyle w:val="Normal"/>
        <w:suppressAutoHyphens w:val="false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</w:r>
    </w:p>
    <w:p>
      <w:pPr>
        <w:pStyle w:val="Normal"/>
        <w:suppressAutoHyphens w:val="false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</w:r>
    </w:p>
    <w:tbl>
      <w:tblPr>
        <w:tblW w:w="9660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5"/>
        <w:gridCol w:w="1695"/>
        <w:gridCol w:w="1485"/>
        <w:gridCol w:w="1815"/>
        <w:gridCol w:w="1740"/>
        <w:gridCol w:w="1710"/>
      </w:tblGrid>
      <w:tr>
        <w:trPr>
          <w:trHeight w:val="339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Verdana" w:hAnsi="Verdana" w:cs="Calibri"/>
                <w:i w:val="false"/>
                <w:i w:val="false"/>
                <w:sz w:val="22"/>
                <w:szCs w:val="22"/>
              </w:rPr>
            </w:pPr>
            <w:r>
              <w:rPr>
                <w:rFonts w:cs="Calibri" w:ascii="Verdana" w:hAnsi="Verdana"/>
                <w:i w:val="false"/>
                <w:sz w:val="22"/>
                <w:szCs w:val="22"/>
              </w:rPr>
              <w:t>Versión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Verdana" w:hAnsi="Verdana" w:cs="Calibri"/>
                <w:i w:val="false"/>
                <w:i w:val="false"/>
                <w:sz w:val="22"/>
                <w:szCs w:val="22"/>
              </w:rPr>
            </w:pPr>
            <w:r>
              <w:rPr>
                <w:rFonts w:cs="Calibri" w:ascii="Verdana" w:hAnsi="Verdana"/>
                <w:i w:val="false"/>
                <w:sz w:val="22"/>
                <w:szCs w:val="22"/>
              </w:rPr>
              <w:t>Descripción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Verdana" w:hAnsi="Verdana" w:cs="Calibri"/>
                <w:i w:val="false"/>
                <w:i w:val="false"/>
                <w:sz w:val="22"/>
                <w:szCs w:val="22"/>
              </w:rPr>
            </w:pPr>
            <w:r>
              <w:rPr>
                <w:rFonts w:cs="Calibri" w:ascii="Verdana" w:hAnsi="Verdana"/>
                <w:i w:val="false"/>
                <w:sz w:val="22"/>
                <w:szCs w:val="22"/>
              </w:rPr>
              <w:t>Fecha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Verdana" w:hAnsi="Verdana" w:cs="Calibri"/>
                <w:i w:val="false"/>
                <w:i w:val="false"/>
                <w:sz w:val="22"/>
                <w:szCs w:val="22"/>
              </w:rPr>
            </w:pPr>
            <w:r>
              <w:rPr>
                <w:rFonts w:cs="Calibri" w:ascii="Verdana" w:hAnsi="Verdana"/>
                <w:i w:val="false"/>
                <w:sz w:val="22"/>
                <w:szCs w:val="22"/>
              </w:rPr>
              <w:t>Elaboró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Verdana" w:hAnsi="Verdana" w:cs="Calibri"/>
                <w:i w:val="false"/>
                <w:i w:val="false"/>
                <w:sz w:val="22"/>
                <w:szCs w:val="22"/>
              </w:rPr>
            </w:pPr>
            <w:r>
              <w:rPr>
                <w:rFonts w:cs="Calibri" w:ascii="Verdana" w:hAnsi="Verdana"/>
                <w:i w:val="false"/>
                <w:sz w:val="22"/>
                <w:szCs w:val="22"/>
              </w:rPr>
              <w:t>Revisó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Verdana" w:hAnsi="Verdana" w:cs="Calibri"/>
                <w:i w:val="false"/>
                <w:i w:val="false"/>
                <w:sz w:val="22"/>
                <w:szCs w:val="22"/>
              </w:rPr>
            </w:pPr>
            <w:r>
              <w:rPr>
                <w:rFonts w:cs="Calibri" w:ascii="Verdana" w:hAnsi="Verdana"/>
                <w:i w:val="false"/>
                <w:sz w:val="22"/>
                <w:szCs w:val="22"/>
              </w:rPr>
              <w:t>Aprobó</w:t>
            </w:r>
          </w:p>
        </w:tc>
      </w:tr>
      <w:tr>
        <w:trPr>
          <w:trHeight w:val="714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Verdana" w:hAnsi="Verdana" w:cs="Calibri"/>
                <w:i w:val="false"/>
                <w:i w:val="false"/>
                <w:sz w:val="22"/>
                <w:szCs w:val="22"/>
              </w:rPr>
            </w:pPr>
            <w:r>
              <w:rPr>
                <w:rFonts w:cs="Calibri" w:ascii="Verdana" w:hAnsi="Verdana"/>
                <w:i w:val="false"/>
                <w:sz w:val="22"/>
                <w:szCs w:val="22"/>
              </w:rPr>
              <w:t xml:space="preserve">Numero de la versión del procedimiento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Verdana" w:hAnsi="Verdana" w:cs="Calibri"/>
                <w:i w:val="false"/>
                <w:i w:val="false"/>
                <w:sz w:val="22"/>
                <w:szCs w:val="22"/>
              </w:rPr>
            </w:pPr>
            <w:r>
              <w:rPr>
                <w:rFonts w:cs="Calibri" w:ascii="Verdana" w:hAnsi="Verdana"/>
                <w:i w:val="false"/>
                <w:sz w:val="22"/>
                <w:szCs w:val="22"/>
              </w:rPr>
              <w:t xml:space="preserve">Se describe el nombre del procedimiento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Verdana" w:hAnsi="Verdana" w:cs="Calibri"/>
                <w:i w:val="false"/>
                <w:i w:val="false"/>
                <w:sz w:val="22"/>
                <w:szCs w:val="22"/>
              </w:rPr>
            </w:pPr>
            <w:r>
              <w:rPr>
                <w:rFonts w:cs="Calibri" w:ascii="Verdana" w:hAnsi="Verdana"/>
                <w:i w:val="false"/>
                <w:sz w:val="22"/>
                <w:szCs w:val="22"/>
              </w:rPr>
              <w:t>Fecha de aprobación del procedimiento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Verdana" w:hAnsi="Verdana" w:cs="Calibri"/>
                <w:i w:val="false"/>
                <w:i w:val="false"/>
                <w:sz w:val="22"/>
                <w:szCs w:val="22"/>
              </w:rPr>
            </w:pPr>
            <w:r>
              <w:rPr>
                <w:rFonts w:cs="Calibri" w:ascii="Verdana" w:hAnsi="Verdana"/>
                <w:i w:val="false"/>
                <w:sz w:val="22"/>
                <w:szCs w:val="22"/>
              </w:rPr>
              <w:t>El nombre de la persona que realizo el procedimiento.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Verdana" w:hAnsi="Verdana" w:cs="Calibri"/>
                <w:i w:val="false"/>
                <w:i w:val="false"/>
                <w:sz w:val="22"/>
                <w:szCs w:val="22"/>
              </w:rPr>
            </w:pPr>
            <w:r>
              <w:rPr>
                <w:rFonts w:cs="Calibri" w:ascii="Verdana" w:hAnsi="Verdana"/>
                <w:i w:val="false"/>
                <w:sz w:val="22"/>
                <w:szCs w:val="22"/>
              </w:rPr>
              <w:t>Nombres de las personas que revisaron el procedimiento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Verdana" w:hAnsi="Verdana" w:cs="Calibri"/>
                <w:i w:val="false"/>
                <w:i w:val="false"/>
                <w:sz w:val="22"/>
                <w:szCs w:val="22"/>
              </w:rPr>
            </w:pPr>
            <w:r>
              <w:rPr>
                <w:rFonts w:cs="Calibri" w:ascii="Verdana" w:hAnsi="Verdana"/>
                <w:i w:val="false"/>
                <w:sz w:val="22"/>
                <w:szCs w:val="22"/>
              </w:rPr>
              <w:t>Nombre del Subcontador de Centralización de la Información.</w:t>
            </w:r>
          </w:p>
        </w:tc>
      </w:tr>
    </w:tbl>
    <w:p>
      <w:pPr>
        <w:pStyle w:val="Normal"/>
        <w:suppressAutoHyphens w:val="false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</w:r>
    </w:p>
    <w:p>
      <w:pPr>
        <w:pStyle w:val="Normal"/>
        <w:suppressAutoHyphens w:val="false"/>
        <w:rPr>
          <w:rFonts w:ascii="Verdana" w:hAnsi="Verdana"/>
          <w:i w:val="false"/>
          <w:i w:val="false"/>
          <w:sz w:val="22"/>
          <w:szCs w:val="22"/>
        </w:rPr>
      </w:pPr>
      <w:r>
        <w:rPr>
          <w:rFonts w:ascii="Verdana" w:hAnsi="Verdana"/>
          <w:i w:val="false"/>
          <w:sz w:val="22"/>
          <w:szCs w:val="22"/>
        </w:rPr>
      </w:r>
      <w:bookmarkStart w:id="1" w:name="_Hlk138430468_Copy_1"/>
      <w:bookmarkStart w:id="2" w:name="_Hlk138430468_Copy_1"/>
      <w:bookmarkEnd w:id="2"/>
    </w:p>
    <w:p>
      <w:pPr>
        <w:pStyle w:val="Normal"/>
        <w:tabs>
          <w:tab w:val="clear" w:pos="708"/>
          <w:tab w:val="left" w:pos="8701" w:leader="none"/>
        </w:tabs>
        <w:spacing w:before="0" w:after="0"/>
        <w:contextualSpacing/>
        <w:rPr>
          <w:rFonts w:ascii="Verdana" w:hAnsi="Verdana" w:cs="Calibri"/>
          <w:b/>
          <w:i w:val="false"/>
          <w:i w:val="false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284" w:top="1701" w:footer="1644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Verdana">
    <w:charset w:val="00"/>
    <w:family w:val="roman"/>
    <w:pitch w:val="variable"/>
  </w:font>
  <w:font w:name="Montserra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-1060450</wp:posOffset>
          </wp:positionH>
          <wp:positionV relativeFrom="paragraph">
            <wp:posOffset>-158115</wp:posOffset>
          </wp:positionV>
          <wp:extent cx="7734935" cy="1337310"/>
          <wp:effectExtent l="0" t="0" r="0" b="0"/>
          <wp:wrapNone/>
          <wp:docPr id="3" name="Imagen 3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4935" cy="133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45" w:type="dxa"/>
      <w:jc w:val="left"/>
      <w:tblInd w:w="-31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1830"/>
      <w:gridCol w:w="1710"/>
      <w:gridCol w:w="1065"/>
      <w:gridCol w:w="1410"/>
      <w:gridCol w:w="1920"/>
      <w:gridCol w:w="1710"/>
    </w:tblGrid>
    <w:tr>
      <w:trPr>
        <w:trHeight w:val="309" w:hRule="atLeast"/>
      </w:trPr>
      <w:tc>
        <w:tcPr>
          <w:tcW w:w="183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Verdana" w:hAnsi="Verdana"/>
              <w:i w:val="false"/>
              <w:i w:val="false"/>
              <w:iCs/>
              <w:color w:val="000000"/>
              <w:lang w:eastAsia="es-CO"/>
            </w:rPr>
          </w:pPr>
          <w:r>
            <w:rPr>
              <w:rFonts w:ascii="Verdana" w:hAnsi="Verdana"/>
              <w:i w:val="false"/>
              <w:iCs/>
              <w:color w:val="000000"/>
              <w:lang w:eastAsia="es-CO"/>
            </w:rPr>
            <w:drawing>
              <wp:anchor behindDoc="1" distT="0" distB="0" distL="0" distR="0" simplePos="0" locked="0" layoutInCell="1" allowOverlap="1" relativeHeight="13">
                <wp:simplePos x="0" y="0"/>
                <wp:positionH relativeFrom="column">
                  <wp:posOffset>-33655</wp:posOffset>
                </wp:positionH>
                <wp:positionV relativeFrom="paragraph">
                  <wp:posOffset>495300</wp:posOffset>
                </wp:positionV>
                <wp:extent cx="1198245" cy="508635"/>
                <wp:effectExtent l="0" t="0" r="0" b="0"/>
                <wp:wrapSquare wrapText="bothSides"/>
                <wp:docPr id="1" name="Imagen 37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7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05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b/>
              <w:bCs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false"/>
              <w:iCs/>
              <w:sz w:val="22"/>
            </w:rPr>
            <w:t>FORMATO DE IMPLEMENTACIÓN</w:t>
          </w:r>
        </w:p>
      </w:tc>
      <w:tc>
        <w:tcPr>
          <w:tcW w:w="1710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Verdana" w:hAnsi="Verdana"/>
              <w:b/>
              <w:bCs/>
              <w:i w:val="false"/>
              <w:i w:val="false"/>
              <w:iCs/>
              <w:lang w:eastAsia="es-CO"/>
            </w:rPr>
          </w:pPr>
          <w:r>
            <w:rPr>
              <w:rFonts w:ascii="Verdana" w:hAnsi="Verdana"/>
              <w:b/>
              <w:bCs/>
              <w:i w:val="false"/>
              <w:iCs/>
              <w:lang w:eastAsia="es-CO"/>
            </w:rPr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3175</wp:posOffset>
                </wp:positionH>
                <wp:positionV relativeFrom="paragraph">
                  <wp:posOffset>501650</wp:posOffset>
                </wp:positionV>
                <wp:extent cx="1095375" cy="466725"/>
                <wp:effectExtent l="0" t="0" r="0" b="0"/>
                <wp:wrapNone/>
                <wp:docPr id="2" name="Imagen 38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8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309" w:hRule="atLeast"/>
      </w:trPr>
      <w:tc>
        <w:tcPr>
          <w:tcW w:w="1830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Montserrat" w:hAnsi="Montserrat"/>
              <w:color w:val="000000"/>
              <w:lang w:eastAsia="es-CO"/>
            </w:rPr>
          </w:pPr>
          <w:r>
            <w:rPr>
              <w:rFonts w:ascii="Montserrat" w:hAnsi="Montserrat"/>
              <w:color w:val="000000"/>
              <w:lang w:eastAsia="es-CO"/>
            </w:rPr>
          </w:r>
        </w:p>
      </w:tc>
      <w:tc>
        <w:tcPr>
          <w:tcW w:w="1710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b/>
              <w:bCs/>
              <w:i w:val="false"/>
              <w:iCs/>
              <w:sz w:val="18"/>
              <w:szCs w:val="18"/>
              <w:lang w:eastAsia="es-CO"/>
            </w:rPr>
            <w:t>PROCESO:</w:t>
          </w:r>
        </w:p>
      </w:tc>
      <w:tc>
        <w:tcPr>
          <w:tcW w:w="439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20"/>
              <w:szCs w:val="20"/>
            </w:rPr>
          </w:pPr>
          <w:r>
            <w:rPr>
              <w:rFonts w:ascii="Verdana" w:hAnsi="Verdana"/>
              <w:i w:val="false"/>
              <w:iCs/>
              <w:sz w:val="20"/>
              <w:szCs w:val="20"/>
              <w:lang w:eastAsia="es-CO"/>
            </w:rPr>
            <w:t>CENTRALIZACIÓN DE LA INFORMACIÓN</w:t>
          </w:r>
        </w:p>
      </w:tc>
      <w:tc>
        <w:tcPr>
          <w:tcW w:w="1710" w:type="dxa"/>
          <w:vMerge w:val="continue"/>
          <w:tcBorders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Montserrat" w:hAnsi="Montserrat"/>
              <w:lang w:eastAsia="es-CO"/>
            </w:rPr>
          </w:pPr>
          <w:r>
            <w:rPr>
              <w:rFonts w:ascii="Montserrat" w:hAnsi="Montserrat"/>
              <w:lang w:eastAsia="es-CO"/>
            </w:rPr>
          </w:r>
        </w:p>
      </w:tc>
    </w:tr>
    <w:tr>
      <w:trPr>
        <w:trHeight w:val="309" w:hRule="atLeast"/>
      </w:trPr>
      <w:tc>
        <w:tcPr>
          <w:tcW w:w="1830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Montserrat" w:hAnsi="Montserrat"/>
              <w:color w:val="000000"/>
              <w:lang w:eastAsia="es-CO"/>
            </w:rPr>
          </w:pPr>
          <w:r>
            <w:rPr>
              <w:rFonts w:ascii="Montserrat" w:hAnsi="Montserrat"/>
              <w:color w:val="000000"/>
              <w:lang w:eastAsia="es-CO"/>
            </w:rPr>
          </w:r>
        </w:p>
      </w:tc>
      <w:tc>
        <w:tcPr>
          <w:tcW w:w="1710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sz w:val="18"/>
              <w:szCs w:val="18"/>
            </w:rPr>
          </w:pPr>
          <w:r>
            <w:rPr>
              <w:rFonts w:ascii="Verdana" w:hAnsi="Verdana"/>
              <w:b/>
              <w:bCs/>
              <w:i w:val="false"/>
              <w:iCs/>
              <w:sz w:val="18"/>
              <w:szCs w:val="18"/>
              <w:lang w:eastAsia="es-CO"/>
            </w:rPr>
            <w:t>PROCEDIMIENTO:</w:t>
          </w:r>
        </w:p>
      </w:tc>
      <w:tc>
        <w:tcPr>
          <w:tcW w:w="439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20"/>
              <w:szCs w:val="20"/>
            </w:rPr>
          </w:pPr>
          <w:r>
            <w:rPr>
              <w:rFonts w:ascii="Verdana" w:hAnsi="Verdana"/>
              <w:i w:val="false"/>
              <w:iCs/>
              <w:sz w:val="20"/>
              <w:szCs w:val="20"/>
              <w:lang w:eastAsia="es-CO"/>
            </w:rPr>
            <w:t>IMPLEMENTACIÓN DE LAS NORMAS EN LOS SISTEMAS INFORMACIÓN INTEGRADOS NACIONALES (SIIF-NACIÓN Y SPGR)</w:t>
          </w:r>
        </w:p>
      </w:tc>
      <w:tc>
        <w:tcPr>
          <w:tcW w:w="1710" w:type="dxa"/>
          <w:vMerge w:val="continue"/>
          <w:tcBorders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Montserrat" w:hAnsi="Montserrat"/>
              <w:lang w:eastAsia="es-CO"/>
            </w:rPr>
          </w:pPr>
          <w:r>
            <w:rPr>
              <w:rFonts w:ascii="Montserrat" w:hAnsi="Montserrat"/>
              <w:lang w:eastAsia="es-CO"/>
            </w:rPr>
          </w:r>
        </w:p>
      </w:tc>
    </w:tr>
    <w:tr>
      <w:trPr>
        <w:trHeight w:val="526" w:hRule="atLeast"/>
      </w:trPr>
      <w:tc>
        <w:tcPr>
          <w:tcW w:w="1830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Montserrat" w:hAnsi="Montserrat"/>
              <w:color w:val="000000"/>
              <w:lang w:eastAsia="es-CO"/>
            </w:rPr>
          </w:pPr>
          <w:r>
            <w:rPr>
              <w:rFonts w:ascii="Montserrat" w:hAnsi="Montserrat"/>
              <w:color w:val="000000"/>
              <w:lang w:eastAsia="es-CO"/>
            </w:rPr>
          </w:r>
        </w:p>
      </w:tc>
      <w:tc>
        <w:tcPr>
          <w:tcW w:w="1710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b/>
              <w:bCs/>
              <w:i w:val="false"/>
              <w:iCs/>
              <w:sz w:val="18"/>
              <w:szCs w:val="18"/>
              <w:lang w:eastAsia="es-CO"/>
            </w:rPr>
            <w:t>FECHA DE APROBACIÓN:</w:t>
          </w:r>
        </w:p>
      </w:tc>
      <w:tc>
        <w:tcPr>
          <w:tcW w:w="106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b/>
              <w:bCs/>
              <w:i w:val="false"/>
              <w:iCs/>
              <w:sz w:val="18"/>
              <w:szCs w:val="18"/>
              <w:lang w:eastAsia="es-CO"/>
            </w:rPr>
            <w:t>CÓDIGO:</w:t>
          </w:r>
        </w:p>
      </w:tc>
      <w:tc>
        <w:tcPr>
          <w:tcW w:w="1410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b/>
              <w:bCs/>
              <w:i w:val="false"/>
              <w:iCs/>
              <w:sz w:val="18"/>
              <w:szCs w:val="18"/>
              <w:lang w:eastAsia="es-CO"/>
            </w:rPr>
            <w:t>VERSIÓN:</w:t>
          </w:r>
        </w:p>
      </w:tc>
      <w:tc>
        <w:tcPr>
          <w:tcW w:w="1920" w:type="dxa"/>
          <w:tcBorders>
            <w:bottom w:val="single" w:sz="4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b/>
              <w:bCs/>
              <w:i w:val="false"/>
              <w:iCs/>
              <w:sz w:val="18"/>
              <w:szCs w:val="18"/>
              <w:lang w:eastAsia="es-CO"/>
            </w:rPr>
            <w:t>PÁGINA:</w:t>
          </w:r>
        </w:p>
      </w:tc>
      <w:tc>
        <w:tcPr>
          <w:tcW w:w="1710" w:type="dxa"/>
          <w:vMerge w:val="continue"/>
          <w:tcBorders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Montserrat" w:hAnsi="Montserrat"/>
              <w:b/>
              <w:bCs/>
              <w:lang w:eastAsia="es-CO"/>
            </w:rPr>
          </w:pPr>
          <w:r>
            <w:rPr>
              <w:rFonts w:ascii="Montserrat" w:hAnsi="Montserrat"/>
              <w:b/>
              <w:bCs/>
              <w:lang w:eastAsia="es-CO"/>
            </w:rPr>
          </w:r>
        </w:p>
      </w:tc>
    </w:tr>
    <w:tr>
      <w:trPr>
        <w:trHeight w:val="325" w:hRule="atLeast"/>
      </w:trPr>
      <w:tc>
        <w:tcPr>
          <w:tcW w:w="1830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Montserrat" w:hAnsi="Montserrat"/>
              <w:color w:val="000000"/>
              <w:lang w:eastAsia="es-CO"/>
            </w:rPr>
          </w:pPr>
          <w:r>
            <w:rPr>
              <w:rFonts w:ascii="Montserrat" w:hAnsi="Montserrat"/>
              <w:color w:val="000000"/>
              <w:lang w:eastAsia="es-CO"/>
            </w:rPr>
          </w:r>
        </w:p>
      </w:tc>
      <w:tc>
        <w:tcPr>
          <w:tcW w:w="1710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i w:val="false"/>
              <w:iCs/>
              <w:sz w:val="22"/>
              <w:lang w:eastAsia="es-CO"/>
            </w:rPr>
            <w:t>30/08/2023</w:t>
          </w:r>
        </w:p>
      </w:tc>
      <w:tc>
        <w:tcPr>
          <w:tcW w:w="1065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i w:val="false"/>
              <w:iCs/>
              <w:sz w:val="18"/>
              <w:szCs w:val="18"/>
              <w:lang w:eastAsia="es-CO"/>
            </w:rPr>
            <w:t>CEN18-FOR02</w:t>
          </w:r>
        </w:p>
      </w:tc>
      <w:tc>
        <w:tcPr>
          <w:tcW w:w="1410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i w:val="false"/>
              <w:iCs/>
              <w:sz w:val="18"/>
              <w:szCs w:val="18"/>
              <w:lang w:eastAsia="es-CO"/>
            </w:rPr>
            <w:t>02</w:t>
          </w:r>
        </w:p>
      </w:tc>
      <w:tc>
        <w:tcPr>
          <w:tcW w:w="1920" w:type="dxa"/>
          <w:tcBorders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bCs/>
              <w:i w:val="false"/>
              <w:iCs/>
              <w:sz w:val="18"/>
              <w:szCs w:val="18"/>
              <w:lang w:eastAsia="es-CO"/>
            </w:rPr>
            <w:fldChar w:fldCharType="begin"/>
          </w:r>
          <w:r>
            <w:rPr>
              <w:sz w:val="18"/>
              <w:i w:val="false"/>
              <w:szCs w:val="18"/>
              <w:iCs/>
              <w:bCs/>
              <w:rFonts w:ascii="Verdana" w:hAnsi="Verdana"/>
              <w:lang w:eastAsia="es-CO"/>
            </w:rPr>
            <w:instrText xml:space="preserve"> PAGE </w:instrText>
          </w:r>
          <w:r>
            <w:rPr>
              <w:sz w:val="18"/>
              <w:i w:val="false"/>
              <w:szCs w:val="18"/>
              <w:iCs/>
              <w:bCs/>
              <w:rFonts w:ascii="Verdana" w:hAnsi="Verdana"/>
              <w:lang w:eastAsia="es-CO"/>
            </w:rPr>
            <w:fldChar w:fldCharType="separate"/>
          </w:r>
          <w:r>
            <w:rPr>
              <w:sz w:val="18"/>
              <w:i w:val="false"/>
              <w:szCs w:val="18"/>
              <w:iCs/>
              <w:bCs/>
              <w:rFonts w:ascii="Verdana" w:hAnsi="Verdana"/>
              <w:lang w:eastAsia="es-CO"/>
            </w:rPr>
            <w:t>4</w:t>
          </w:r>
          <w:r>
            <w:rPr>
              <w:sz w:val="18"/>
              <w:i w:val="false"/>
              <w:szCs w:val="18"/>
              <w:iCs/>
              <w:bCs/>
              <w:rFonts w:ascii="Verdana" w:hAnsi="Verdana"/>
              <w:lang w:eastAsia="es-CO"/>
            </w:rPr>
            <w:fldChar w:fldCharType="end"/>
          </w:r>
          <w:r>
            <w:rPr>
              <w:rFonts w:ascii="Verdana" w:hAnsi="Verdana"/>
              <w:i w:val="false"/>
              <w:iCs/>
              <w:sz w:val="18"/>
              <w:szCs w:val="18"/>
              <w:lang w:val="es-ES" w:eastAsia="es-CO"/>
            </w:rPr>
            <w:t xml:space="preserve"> </w:t>
          </w:r>
          <w:r>
            <w:rPr>
              <w:rFonts w:ascii="Verdana" w:hAnsi="Verdana"/>
              <w:i w:val="false"/>
              <w:iCs/>
              <w:sz w:val="18"/>
              <w:szCs w:val="18"/>
              <w:lang w:val="es-ES" w:eastAsia="es-CO"/>
            </w:rPr>
            <w:t xml:space="preserve">de </w:t>
          </w:r>
          <w:r>
            <w:rPr>
              <w:rFonts w:ascii="Verdana" w:hAnsi="Verdana"/>
              <w:bCs/>
              <w:i w:val="false"/>
              <w:iCs/>
              <w:sz w:val="18"/>
              <w:szCs w:val="18"/>
              <w:lang w:eastAsia="es-CO"/>
            </w:rPr>
            <w:fldChar w:fldCharType="begin"/>
          </w:r>
          <w:r>
            <w:rPr>
              <w:sz w:val="18"/>
              <w:i w:val="false"/>
              <w:szCs w:val="18"/>
              <w:iCs/>
              <w:bCs/>
              <w:rFonts w:ascii="Verdana" w:hAnsi="Verdana"/>
              <w:lang w:eastAsia="es-CO"/>
            </w:rPr>
            <w:instrText xml:space="preserve"> NUMPAGES </w:instrText>
          </w:r>
          <w:r>
            <w:rPr>
              <w:sz w:val="18"/>
              <w:i w:val="false"/>
              <w:szCs w:val="18"/>
              <w:iCs/>
              <w:bCs/>
              <w:rFonts w:ascii="Verdana" w:hAnsi="Verdana"/>
              <w:lang w:eastAsia="es-CO"/>
            </w:rPr>
            <w:fldChar w:fldCharType="separate"/>
          </w:r>
          <w:r>
            <w:rPr>
              <w:sz w:val="18"/>
              <w:i w:val="false"/>
              <w:szCs w:val="18"/>
              <w:iCs/>
              <w:bCs/>
              <w:rFonts w:ascii="Verdana" w:hAnsi="Verdana"/>
              <w:lang w:eastAsia="es-CO"/>
            </w:rPr>
            <w:t>4</w:t>
          </w:r>
          <w:r>
            <w:rPr>
              <w:sz w:val="18"/>
              <w:i w:val="false"/>
              <w:szCs w:val="18"/>
              <w:iCs/>
              <w:bCs/>
              <w:rFonts w:ascii="Verdana" w:hAnsi="Verdana"/>
              <w:lang w:eastAsia="es-CO"/>
            </w:rPr>
            <w:fldChar w:fldCharType="end"/>
          </w:r>
        </w:p>
      </w:tc>
      <w:tc>
        <w:tcPr>
          <w:tcW w:w="1710" w:type="dxa"/>
          <w:vMerge w:val="continue"/>
          <w:tcBorders>
            <w:bottom w:val="single" w:sz="8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ascii="Montserrat" w:hAnsi="Montserrat"/>
              <w:lang w:eastAsia="es-CO"/>
            </w:rPr>
          </w:pPr>
          <w:r>
            <w:rPr>
              <w:rFonts w:ascii="Montserrat" w:hAnsi="Montserrat"/>
              <w:lang w:eastAsia="es-CO"/>
            </w:rPr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b16bc"/>
    <w:pPr>
      <w:widowControl/>
      <w:suppressAutoHyphens w:val="true"/>
      <w:bidi w:val="0"/>
      <w:spacing w:before="0" w:after="0"/>
      <w:jc w:val="both"/>
    </w:pPr>
    <w:rPr>
      <w:rFonts w:ascii="Bookman Old Style" w:hAnsi="Bookman Old Style" w:eastAsia="Times New Roman" w:cs="Times New Roman"/>
      <w:i/>
      <w:color w:val="auto"/>
      <w:kern w:val="0"/>
      <w:sz w:val="20"/>
      <w:szCs w:val="20"/>
      <w:lang w:val="es-CO" w:eastAsia="ar-SA" w:bidi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false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 w:val="true"/>
      <w:numPr>
        <w:ilvl w:val="7"/>
        <w:numId w:val="1"/>
      </w:numPr>
      <w:jc w:val="center"/>
      <w:outlineLvl w:val="7"/>
    </w:pPr>
    <w:rPr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eb16bc"/>
    <w:rPr/>
  </w:style>
  <w:style w:type="character" w:styleId="WW8Num3z0" w:customStyle="1">
    <w:name w:val="WW8Num3z0"/>
    <w:qFormat/>
    <w:rsid w:val="00eb16bc"/>
    <w:rPr>
      <w:rFonts w:cs="Times New Roman"/>
    </w:rPr>
  </w:style>
  <w:style w:type="character" w:styleId="WW8Num4z0" w:customStyle="1">
    <w:name w:val="WW8Num4z0"/>
    <w:qFormat/>
    <w:rsid w:val="00eb16bc"/>
    <w:rPr>
      <w:rFonts w:cs="Times New Roman"/>
    </w:rPr>
  </w:style>
  <w:style w:type="character" w:styleId="Fuentedeprrafopredeter1" w:customStyle="1">
    <w:name w:val="Fuente de párrafo predeter.1"/>
    <w:qFormat/>
    <w:rsid w:val="00eb16bc"/>
    <w:rPr/>
  </w:style>
  <w:style w:type="character" w:styleId="Pagenumber">
    <w:name w:val="page number"/>
    <w:basedOn w:val="Fuentedeprrafopredeter1"/>
    <w:qFormat/>
    <w:rsid w:val="00eb16bc"/>
    <w:rPr/>
  </w:style>
  <w:style w:type="character" w:styleId="CarCar1" w:customStyle="1">
    <w:name w:val="Car Car1"/>
    <w:qFormat/>
    <w:rsid w:val="00eb16bc"/>
    <w:rPr>
      <w:rFonts w:ascii="Bookman Old Style" w:hAnsi="Bookman Old Style"/>
      <w:i/>
      <w:lang w:val="es-CO"/>
    </w:rPr>
  </w:style>
  <w:style w:type="character" w:styleId="EnlacedeInternet">
    <w:name w:val="Hyperlink"/>
    <w:rsid w:val="00eb16bc"/>
    <w:rPr>
      <w:color w:val="0000FF"/>
      <w:u w:val="single"/>
    </w:rPr>
  </w:style>
  <w:style w:type="character" w:styleId="CarCar2" w:customStyle="1">
    <w:name w:val="Car Car2"/>
    <w:qFormat/>
    <w:rsid w:val="00eb16bc"/>
    <w:rPr>
      <w:rFonts w:ascii="Bookman Old Style" w:hAnsi="Bookman Old Style"/>
      <w:i/>
      <w:lang w:val="es-CO"/>
    </w:rPr>
  </w:style>
  <w:style w:type="character" w:styleId="CarCar" w:customStyle="1">
    <w:name w:val="Car Car"/>
    <w:qFormat/>
    <w:rsid w:val="00eb16bc"/>
    <w:rPr>
      <w:rFonts w:ascii="Arial" w:hAnsi="Arial"/>
      <w:lang w:val="es-ES_tradnl"/>
    </w:rPr>
  </w:style>
  <w:style w:type="character" w:styleId="TextoindependienteCar" w:customStyle="1">
    <w:name w:val="Texto independiente Car"/>
    <w:qFormat/>
    <w:rsid w:val="009c2502"/>
    <w:rPr>
      <w:rFonts w:ascii="Arial" w:hAnsi="Arial"/>
      <w:lang w:val="es-ES_tradnl" w:eastAsia="ar-SA"/>
    </w:rPr>
  </w:style>
  <w:style w:type="character" w:styleId="TextocomentarioCar" w:customStyle="1">
    <w:name w:val="Texto comentario Car"/>
    <w:link w:val="Annotationtext"/>
    <w:uiPriority w:val="99"/>
    <w:qFormat/>
    <w:rsid w:val="009c2502"/>
    <w:rPr>
      <w:rFonts w:ascii="Calibri" w:hAnsi="Calibri" w:eastAsia="Calibri"/>
      <w:lang w:val="es-ES" w:eastAsia="ar-SA"/>
    </w:rPr>
  </w:style>
  <w:style w:type="character" w:styleId="PiedepginaCar" w:customStyle="1">
    <w:name w:val="Pie de página Car"/>
    <w:uiPriority w:val="99"/>
    <w:qFormat/>
    <w:rsid w:val="008b55fa"/>
    <w:rPr>
      <w:rFonts w:ascii="Bookman Old Style" w:hAnsi="Bookman Old Style"/>
      <w:i/>
      <w:lang w:eastAsia="ar-SA"/>
    </w:rPr>
  </w:style>
  <w:style w:type="character" w:styleId="Ttulo1Car" w:customStyle="1">
    <w:name w:val="Título 1 Car"/>
    <w:basedOn w:val="DefaultParagraphFont"/>
    <w:qFormat/>
    <w:rsid w:val="0070396f"/>
    <w:rPr>
      <w:rFonts w:ascii="Arial" w:hAnsi="Arial" w:cs="Arial"/>
      <w:b/>
      <w:bCs/>
      <w:i/>
      <w:kern w:val="2"/>
      <w:sz w:val="32"/>
      <w:szCs w:val="32"/>
      <w:lang w:eastAsia="ar-SA"/>
    </w:rPr>
  </w:style>
  <w:style w:type="character" w:styleId="Ttulo2Car" w:customStyle="1">
    <w:name w:val="Título 2 Car"/>
    <w:basedOn w:val="DefaultParagraphFont"/>
    <w:qFormat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styleId="EncabezadoCar" w:customStyle="1">
    <w:name w:val="Encabezado Car"/>
    <w:basedOn w:val="DefaultParagraphFont"/>
    <w:uiPriority w:val="99"/>
    <w:qFormat/>
    <w:rsid w:val="0070396f"/>
    <w:rPr>
      <w:rFonts w:ascii="Bookman Old Style" w:hAnsi="Bookman Old Style"/>
      <w:i/>
      <w:lang w:eastAsia="ar-SA"/>
    </w:rPr>
  </w:style>
  <w:style w:type="character" w:styleId="Strong">
    <w:name w:val="Strong"/>
    <w:basedOn w:val="DefaultParagraphFont"/>
    <w:uiPriority w:val="22"/>
    <w:qFormat/>
    <w:rsid w:val="00a034fa"/>
    <w:rPr>
      <w:b/>
      <w:bCs/>
    </w:rPr>
  </w:style>
  <w:style w:type="character" w:styleId="Destacado">
    <w:name w:val="Emphasis"/>
    <w:basedOn w:val="DefaultParagraphFont"/>
    <w:uiPriority w:val="20"/>
    <w:qFormat/>
    <w:rsid w:val="00a034fa"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eb16bc"/>
    <w:pPr>
      <w:widowControl w:val="false"/>
    </w:pPr>
    <w:rPr>
      <w:rFonts w:ascii="Arial" w:hAnsi="Arial"/>
      <w:i w:val="false"/>
      <w:lang w:val="es-ES_tradnl"/>
    </w:rPr>
  </w:style>
  <w:style w:type="paragraph" w:styleId="Lista">
    <w:name w:val="List"/>
    <w:basedOn w:val="Cuerpodetexto"/>
    <w:rsid w:val="00eb16bc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eb16bc"/>
    <w:pPr>
      <w:suppressLineNumbers/>
    </w:pPr>
    <w:rPr>
      <w:rFonts w:cs="Mangal"/>
    </w:rPr>
  </w:style>
  <w:style w:type="paragraph" w:styleId="Encabezado1" w:customStyle="1">
    <w:name w:val="Encabezado1"/>
    <w:basedOn w:val="Normal"/>
    <w:next w:val="Cuerpodetexto"/>
    <w:qFormat/>
    <w:rsid w:val="00eb16bc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Etiqueta" w:customStyle="1">
    <w:name w:val="Etiqueta"/>
    <w:basedOn w:val="Normal"/>
    <w:qFormat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eb16b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eb16b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inespaciado1" w:customStyle="1">
    <w:name w:val="Sin espaciado1"/>
    <w:qFormat/>
    <w:rsid w:val="00eb16bc"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Times New Roman"/>
      <w:color w:val="auto"/>
      <w:kern w:val="0"/>
      <w:sz w:val="22"/>
      <w:szCs w:val="22"/>
      <w:lang w:val="es-ES" w:eastAsia="ar-SA" w:bidi="ar-SA"/>
    </w:rPr>
  </w:style>
  <w:style w:type="paragraph" w:styleId="NoSpacing1" w:customStyle="1">
    <w:name w:val="No Spacing1"/>
    <w:qFormat/>
    <w:rsid w:val="00eb16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ES" w:eastAsia="ar-SA" w:bidi="ar-SA"/>
    </w:rPr>
  </w:style>
  <w:style w:type="paragraph" w:styleId="BalloonText">
    <w:name w:val="Balloon Text"/>
    <w:basedOn w:val="Normal"/>
    <w:qFormat/>
    <w:rsid w:val="00eb16bc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comentarioCar"/>
    <w:uiPriority w:val="99"/>
    <w:unhideWhenUsed/>
    <w:qFormat/>
    <w:rsid w:val="009c2502"/>
    <w:pPr>
      <w:spacing w:lineRule="auto" w:line="276" w:before="0" w:after="200"/>
    </w:pPr>
    <w:rPr>
      <w:rFonts w:ascii="Calibri" w:hAnsi="Calibri" w:eastAsia="Calibri"/>
      <w:i w:val="false"/>
      <w:lang w:val="es-ES"/>
    </w:rPr>
  </w:style>
  <w:style w:type="paragraph" w:styleId="ListParagraph">
    <w:name w:val="List Paragraph"/>
    <w:basedOn w:val="Normal"/>
    <w:uiPriority w:val="34"/>
    <w:qFormat/>
    <w:rsid w:val="008c2908"/>
    <w:pPr>
      <w:widowControl w:val="false"/>
      <w:suppressAutoHyphens w:val="false"/>
      <w:jc w:val="left"/>
    </w:pPr>
    <w:rPr>
      <w:rFonts w:ascii="Arial MT" w:hAnsi="Arial MT" w:eastAsia="Arial MT" w:cs="Arial MT"/>
      <w:i w:val="false"/>
      <w:sz w:val="22"/>
      <w:szCs w:val="22"/>
      <w:lang w:val="es-ES" w:eastAsia="en-US"/>
    </w:rPr>
  </w:style>
  <w:style w:type="paragraph" w:styleId="TableParagraph" w:customStyle="1">
    <w:name w:val="Table Paragraph"/>
    <w:basedOn w:val="Normal"/>
    <w:uiPriority w:val="1"/>
    <w:qFormat/>
    <w:rsid w:val="008c2908"/>
    <w:pPr>
      <w:widowControl w:val="false"/>
      <w:suppressAutoHyphens w:val="false"/>
      <w:ind w:left="108" w:hanging="0"/>
      <w:jc w:val="left"/>
    </w:pPr>
    <w:rPr>
      <w:rFonts w:ascii="Arial MT" w:hAnsi="Arial MT" w:eastAsia="Arial MT" w:cs="Arial MT"/>
      <w:i w:val="false"/>
      <w:sz w:val="22"/>
      <w:szCs w:val="22"/>
      <w:lang w:val="es-ES" w:eastAsia="en-US"/>
    </w:rPr>
  </w:style>
  <w:style w:type="paragraph" w:styleId="NoSpacing">
    <w:name w:val="No Spacing"/>
    <w:uiPriority w:val="1"/>
    <w:qFormat/>
    <w:rsid w:val="008c2908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Default" w:customStyle="1">
    <w:name w:val="Default"/>
    <w:qFormat/>
    <w:rsid w:val="008c29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val="es-419" w:eastAsia="en-US" w:bidi="ar-SA"/>
    </w:rPr>
  </w:style>
  <w:style w:type="paragraph" w:styleId="NormalWeb">
    <w:name w:val="Normal (Web)"/>
    <w:basedOn w:val="Normal"/>
    <w:uiPriority w:val="99"/>
    <w:unhideWhenUsed/>
    <w:qFormat/>
    <w:rsid w:val="00a973f0"/>
    <w:pPr>
      <w:suppressAutoHyphens w:val="false"/>
      <w:spacing w:beforeAutospacing="1" w:afterAutospacing="1"/>
      <w:jc w:val="left"/>
    </w:pPr>
    <w:rPr>
      <w:rFonts w:ascii="Times New Roman" w:hAnsi="Times New Roman"/>
      <w:i w:val="false"/>
      <w:sz w:val="24"/>
      <w:szCs w:val="24"/>
      <w:lang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c2908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0B8-B707-4DC0-954A-61992D4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LibreOffice/7.5.2.2$Windows_X86_64 LibreOffice_project/53bb9681a964705cf672590721dbc85eb4d0c3a2</Application>
  <AppVersion>15.0000</AppVersion>
  <Pages>4</Pages>
  <Words>936</Words>
  <Characters>5187</Characters>
  <CharactersWithSpaces>6085</CharactersWithSpaces>
  <Paragraphs>57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2023-08-22T01:43:00Z</dcterms:created>
  <dc:creator>mcordoba</dc:creator>
  <dc:description/>
  <dc:language>es-CO</dc:language>
  <cp:lastModifiedBy/>
  <cp:lastPrinted>2011-07-29T12:30:00Z</cp:lastPrinted>
  <dcterms:modified xsi:type="dcterms:W3CDTF">2023-08-31T10:34:11Z</dcterms:modified>
  <cp:revision>5</cp:revision>
  <dc:subject/>
  <dc:title>CGN – 1000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