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85F91" w14:textId="77777777" w:rsidR="00AB3743" w:rsidRPr="005C56D0" w:rsidRDefault="00C80AD1" w:rsidP="005C56D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>CARTA DE COMPROMISO</w:t>
      </w:r>
    </w:p>
    <w:p w14:paraId="222F69C4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15A2A11D" w14:textId="77777777" w:rsidR="00AB3743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Bogotá, D.C., ____ de _______________ </w:t>
      </w:r>
      <w:proofErr w:type="spellStart"/>
      <w:r w:rsidRPr="005C56D0">
        <w:rPr>
          <w:rFonts w:ascii="Verdana" w:hAnsi="Verdana"/>
          <w:sz w:val="22"/>
          <w:szCs w:val="22"/>
        </w:rPr>
        <w:t>de</w:t>
      </w:r>
      <w:proofErr w:type="spellEnd"/>
      <w:r w:rsidRPr="005C56D0">
        <w:rPr>
          <w:rFonts w:ascii="Verdana" w:hAnsi="Verdana"/>
          <w:sz w:val="22"/>
          <w:szCs w:val="22"/>
        </w:rPr>
        <w:t xml:space="preserve"> ______</w:t>
      </w:r>
    </w:p>
    <w:p w14:paraId="26575576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1FD239A" w14:textId="1B0B94C7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Señores </w:t>
      </w:r>
    </w:p>
    <w:p w14:paraId="574BA60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 xml:space="preserve">Comité de Capacitación, Bienestar Social y Estímulos </w:t>
      </w:r>
    </w:p>
    <w:p w14:paraId="0FDBEE00" w14:textId="77777777" w:rsidR="00AB3743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U.A.E. Contaduría General de la Nación </w:t>
      </w:r>
    </w:p>
    <w:p w14:paraId="37A6287E" w14:textId="77777777" w:rsidR="00AB3743" w:rsidRPr="005C56D0" w:rsidRDefault="00AB374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920CEFA" w14:textId="03463684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Con la presente</w:t>
      </w:r>
      <w:r w:rsidR="00FF636A" w:rsidRPr="005C56D0">
        <w:rPr>
          <w:rFonts w:ascii="Verdana" w:hAnsi="Verdana"/>
          <w:sz w:val="22"/>
          <w:szCs w:val="22"/>
        </w:rPr>
        <w:t xml:space="preserve">, y de conformidad con lo establecido en el artículo 24 de la Resolución 431 de 2023, modificado por el artículo 7 de la Resolución 040 de 2024, </w:t>
      </w:r>
      <w:r w:rsidRPr="005C56D0">
        <w:rPr>
          <w:rFonts w:ascii="Verdana" w:hAnsi="Verdana"/>
          <w:sz w:val="22"/>
          <w:szCs w:val="22"/>
        </w:rPr>
        <w:t>me comprometo a dar estricto cumplimiento a las obligaciones que a continuación se detallan</w:t>
      </w:r>
      <w:r w:rsidR="00FF636A" w:rsidRPr="005C56D0">
        <w:rPr>
          <w:rFonts w:ascii="Verdana" w:hAnsi="Verdana"/>
          <w:sz w:val="22"/>
          <w:szCs w:val="22"/>
        </w:rPr>
        <w:t>,</w:t>
      </w:r>
      <w:r w:rsidRPr="005C56D0">
        <w:rPr>
          <w:rFonts w:ascii="Verdana" w:hAnsi="Verdana"/>
          <w:sz w:val="22"/>
          <w:szCs w:val="22"/>
        </w:rPr>
        <w:t xml:space="preserve"> derivadas del beneficio</w:t>
      </w:r>
      <w:r w:rsidR="00FF636A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 xml:space="preserve">obtenido para educación formal, </w:t>
      </w:r>
      <w:r w:rsidR="00712D1F" w:rsidRPr="005C56D0">
        <w:rPr>
          <w:rFonts w:ascii="Verdana" w:hAnsi="Verdana"/>
          <w:sz w:val="22"/>
          <w:szCs w:val="22"/>
          <w:highlight w:val="yellow"/>
          <w:u w:val="single"/>
        </w:rPr>
        <w:t>semestre a cursar y programa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1AB1031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3566B5A" w14:textId="77777777" w:rsidR="00FF636A" w:rsidRPr="005C56D0" w:rsidRDefault="00C80AD1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la presente acta de compromiso </w:t>
      </w:r>
      <w:r w:rsidR="00FF636A" w:rsidRPr="005C56D0">
        <w:rPr>
          <w:rFonts w:ascii="Verdana" w:hAnsi="Verdana"/>
          <w:sz w:val="22"/>
          <w:szCs w:val="22"/>
        </w:rPr>
        <w:t>mediante el cual se aceptan las siguientes obligaciones:</w:t>
      </w:r>
    </w:p>
    <w:p w14:paraId="6B31B820" w14:textId="77777777" w:rsidR="00FF636A" w:rsidRPr="005C56D0" w:rsidRDefault="00FF636A" w:rsidP="005C56D0">
      <w:pPr>
        <w:pStyle w:val="Default"/>
        <w:spacing w:after="18"/>
        <w:ind w:left="720"/>
        <w:jc w:val="both"/>
        <w:rPr>
          <w:rFonts w:ascii="Verdana" w:hAnsi="Verdana"/>
          <w:sz w:val="22"/>
          <w:szCs w:val="22"/>
        </w:rPr>
      </w:pPr>
    </w:p>
    <w:p w14:paraId="5C29EDB6" w14:textId="3497553A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Adelantar </w:t>
      </w:r>
      <w:r w:rsidR="00A72C97" w:rsidRPr="005C56D0">
        <w:rPr>
          <w:rFonts w:ascii="Verdana" w:hAnsi="Verdana"/>
          <w:sz w:val="22"/>
          <w:szCs w:val="22"/>
        </w:rPr>
        <w:t>los</w:t>
      </w:r>
      <w:r w:rsidRPr="005C56D0">
        <w:rPr>
          <w:rFonts w:ascii="Verdana" w:hAnsi="Verdana"/>
          <w:sz w:val="22"/>
          <w:szCs w:val="22"/>
        </w:rPr>
        <w:t xml:space="preserve"> estudios de pregrado a posgrado con 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a dedica</w:t>
      </w:r>
      <w:r w:rsidR="00A72C97" w:rsidRPr="005C56D0">
        <w:rPr>
          <w:rFonts w:ascii="Verdana" w:hAnsi="Verdana"/>
          <w:sz w:val="22"/>
          <w:szCs w:val="22"/>
        </w:rPr>
        <w:t>ci</w:t>
      </w:r>
      <w:r w:rsidRPr="005C56D0">
        <w:rPr>
          <w:rFonts w:ascii="Verdana" w:hAnsi="Verdana"/>
          <w:sz w:val="22"/>
          <w:szCs w:val="22"/>
        </w:rPr>
        <w:t>ón y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compromiso necesarios para a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ca</w:t>
      </w:r>
      <w:r w:rsidR="00A72C97" w:rsidRPr="005C56D0">
        <w:rPr>
          <w:rFonts w:ascii="Verdana" w:hAnsi="Verdana"/>
          <w:sz w:val="22"/>
          <w:szCs w:val="22"/>
        </w:rPr>
        <w:t>n</w:t>
      </w:r>
      <w:r w:rsidRPr="005C56D0">
        <w:rPr>
          <w:rFonts w:ascii="Verdana" w:hAnsi="Verdana"/>
          <w:sz w:val="22"/>
          <w:szCs w:val="22"/>
        </w:rPr>
        <w:t>zar un exce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ente rendimiento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académico.</w:t>
      </w:r>
    </w:p>
    <w:p w14:paraId="1561D137" w14:textId="2899EC6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Cum</w:t>
      </w:r>
      <w:r w:rsidR="00A72C97" w:rsidRPr="005C56D0">
        <w:rPr>
          <w:rFonts w:ascii="Verdana" w:hAnsi="Verdana"/>
          <w:sz w:val="22"/>
          <w:szCs w:val="22"/>
        </w:rPr>
        <w:t>plir con la carga a</w:t>
      </w:r>
      <w:r w:rsidRPr="005C56D0">
        <w:rPr>
          <w:rFonts w:ascii="Verdana" w:hAnsi="Verdana"/>
          <w:sz w:val="22"/>
          <w:szCs w:val="22"/>
        </w:rPr>
        <w:t>cadémica de acuerdo con e</w:t>
      </w:r>
      <w:r w:rsidR="00A72C97" w:rsidRPr="005C56D0">
        <w:rPr>
          <w:rFonts w:ascii="Verdana" w:hAnsi="Verdana"/>
          <w:sz w:val="22"/>
          <w:szCs w:val="22"/>
        </w:rPr>
        <w:t>l currículo del respectivo programa</w:t>
      </w:r>
      <w:r w:rsidRPr="005C56D0">
        <w:rPr>
          <w:rFonts w:ascii="Verdana" w:hAnsi="Verdana"/>
          <w:sz w:val="22"/>
          <w:szCs w:val="22"/>
        </w:rPr>
        <w:t xml:space="preserve"> académico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64A3F41C" w14:textId="429DC66D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>o perder por inasistencia una materia.</w:t>
      </w:r>
    </w:p>
    <w:p w14:paraId="15832224" w14:textId="48BD79F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 xml:space="preserve">o sobrepasar el número de </w:t>
      </w:r>
      <w:r w:rsidRPr="005C56D0">
        <w:rPr>
          <w:rFonts w:ascii="Verdana" w:hAnsi="Verdana"/>
          <w:sz w:val="22"/>
          <w:szCs w:val="22"/>
        </w:rPr>
        <w:t>semestres</w:t>
      </w:r>
      <w:r w:rsidR="00A72C97" w:rsidRPr="005C56D0">
        <w:rPr>
          <w:rFonts w:ascii="Verdana" w:hAnsi="Verdana"/>
          <w:sz w:val="22"/>
          <w:szCs w:val="22"/>
        </w:rPr>
        <w:t xml:space="preserve"> o años definidos por la universidad</w:t>
      </w:r>
      <w:r w:rsidRPr="005C56D0">
        <w:rPr>
          <w:rFonts w:ascii="Verdana" w:hAnsi="Verdana"/>
          <w:sz w:val="22"/>
          <w:szCs w:val="22"/>
        </w:rPr>
        <w:t xml:space="preserve"> para ese programa académic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>.</w:t>
      </w:r>
    </w:p>
    <w:p w14:paraId="13CF9080" w14:textId="3C03B798" w:rsidR="00C80AD1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Mantener un promedio</w:t>
      </w:r>
      <w:r w:rsidR="00A72C97" w:rsidRPr="005C56D0">
        <w:rPr>
          <w:rFonts w:ascii="Verdana" w:hAnsi="Verdana"/>
          <w:sz w:val="22"/>
          <w:szCs w:val="22"/>
        </w:rPr>
        <w:t xml:space="preserve"> mínimo</w:t>
      </w:r>
      <w:r w:rsidRPr="005C56D0">
        <w:rPr>
          <w:rFonts w:ascii="Verdana" w:hAnsi="Verdana"/>
          <w:sz w:val="22"/>
          <w:szCs w:val="22"/>
        </w:rPr>
        <w:t xml:space="preserve"> por semestre 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 xml:space="preserve"> ciclo académico de </w:t>
      </w:r>
      <w:r w:rsidR="005C56D0" w:rsidRPr="005C56D0">
        <w:rPr>
          <w:rFonts w:ascii="Verdana" w:hAnsi="Verdana"/>
          <w:sz w:val="22"/>
          <w:szCs w:val="22"/>
        </w:rPr>
        <w:t>tres puntos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cinco (3.5).</w:t>
      </w:r>
    </w:p>
    <w:p w14:paraId="21B6369B" w14:textId="29BD447A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Reportar sus calificaciones a la Coordinación del GIT de Talento Humano y Prestaciones Sociales, a la finalización del respectivo semestre académico.</w:t>
      </w:r>
    </w:p>
    <w:p w14:paraId="69F9A24C" w14:textId="0F5FC5F5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efectuar cambios en el desarrollo del programa académico objeto del apoyo educativo sin que previamente haya sido autorizado por el Comité de Capacitación, Bienestar Social y Estímulos.</w:t>
      </w:r>
    </w:p>
    <w:p w14:paraId="39F44E53" w14:textId="6ADA0A85" w:rsidR="00A72C97" w:rsidRPr="005C56D0" w:rsidRDefault="0079374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>btener 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respectivo t</w:t>
      </w:r>
      <w:r w:rsidRPr="005C56D0">
        <w:rPr>
          <w:rFonts w:ascii="Verdana" w:hAnsi="Verdana"/>
          <w:sz w:val="22"/>
          <w:szCs w:val="22"/>
        </w:rPr>
        <w:t>í</w:t>
      </w:r>
      <w:r w:rsidR="00A72C97" w:rsidRPr="005C56D0">
        <w:rPr>
          <w:rFonts w:ascii="Verdana" w:hAnsi="Verdana"/>
          <w:sz w:val="22"/>
          <w:szCs w:val="22"/>
        </w:rPr>
        <w:t>tulo académic</w:t>
      </w: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 xml:space="preserve"> a 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>a finalización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programa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académico y hacer entrega de una copia de este</w:t>
      </w:r>
      <w:r w:rsidRPr="005C56D0">
        <w:rPr>
          <w:rFonts w:ascii="Verdana" w:hAnsi="Verdana"/>
          <w:sz w:val="22"/>
          <w:szCs w:val="22"/>
        </w:rPr>
        <w:t>,</w:t>
      </w:r>
      <w:r w:rsidR="00A72C97" w:rsidRPr="005C56D0">
        <w:rPr>
          <w:rFonts w:ascii="Verdana" w:hAnsi="Verdana"/>
          <w:sz w:val="22"/>
          <w:szCs w:val="22"/>
        </w:rPr>
        <w:t xml:space="preserve"> al mes siguiente de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la graduación</w:t>
      </w:r>
      <w:r w:rsidRPr="005C56D0">
        <w:rPr>
          <w:rFonts w:ascii="Verdana" w:hAnsi="Verdana"/>
          <w:sz w:val="22"/>
          <w:szCs w:val="22"/>
        </w:rPr>
        <w:t xml:space="preserve">, a la </w:t>
      </w:r>
      <w:r w:rsidR="00A72C97" w:rsidRPr="005C56D0">
        <w:rPr>
          <w:rFonts w:ascii="Verdana" w:hAnsi="Verdana"/>
          <w:sz w:val="22"/>
          <w:szCs w:val="22"/>
        </w:rPr>
        <w:t>Coordinación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GIT de Talento Humano y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Prestaciones Sociales.</w:t>
      </w:r>
    </w:p>
    <w:p w14:paraId="27668779" w14:textId="77777777" w:rsidR="00E722D5" w:rsidRPr="005C56D0" w:rsidRDefault="00E722D5" w:rsidP="005C56D0">
      <w:pPr>
        <w:pStyle w:val="Default"/>
        <w:spacing w:after="18"/>
        <w:ind w:left="1080"/>
        <w:jc w:val="both"/>
        <w:rPr>
          <w:rFonts w:ascii="Verdana" w:hAnsi="Verdana"/>
          <w:sz w:val="22"/>
          <w:szCs w:val="22"/>
        </w:rPr>
      </w:pPr>
    </w:p>
    <w:p w14:paraId="7E8A8F43" w14:textId="41C6876A" w:rsidR="00CD0C35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lastRenderedPageBreak/>
        <w:t>Prestar sus servicios a la Contaduría General de la Nación después de la obtención del título objeto del apoyo educativo en los siguientes términos:</w:t>
      </w:r>
    </w:p>
    <w:p w14:paraId="25D2ABF7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3D179981" w14:textId="4970F285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los servidores con derechos de carrera, deberán prestar sus servicios a la Contaduría General de la Nación por el cien (100%) del término de duración del programa de pregrado o posgrado objeto del apoyo educativo.</w:t>
      </w:r>
    </w:p>
    <w:p w14:paraId="712855FD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77296D02" w14:textId="5F835B4E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En tanto, para los servidores públicos vinculados por nombramiento en provisionalidad o de libre nombramiento y remoción, deberán prestar sus servicios a la Contaduría General de la Nación por al menos el sesenta (60%)</w:t>
      </w:r>
    </w:p>
    <w:p w14:paraId="311D1114" w14:textId="0B7EE0C8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del término de duración del programa de pregrado o posgrado objeto del apoyo educativo.</w:t>
      </w:r>
    </w:p>
    <w:p w14:paraId="1F6359AF" w14:textId="77777777" w:rsidR="00CD0C35" w:rsidRPr="005C56D0" w:rsidRDefault="00CD0C35" w:rsidP="005C56D0">
      <w:pPr>
        <w:pStyle w:val="Default"/>
        <w:spacing w:after="18"/>
        <w:jc w:val="both"/>
        <w:rPr>
          <w:rFonts w:ascii="Verdana" w:hAnsi="Verdana"/>
          <w:sz w:val="22"/>
          <w:szCs w:val="22"/>
        </w:rPr>
      </w:pPr>
    </w:p>
    <w:p w14:paraId="1CE73281" w14:textId="7E57323D" w:rsidR="00C80AD1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el formato de autorización de descuento de los salarios, prestaciones sociales y </w:t>
      </w:r>
      <w:r w:rsidR="00640EEB" w:rsidRPr="005C56D0">
        <w:rPr>
          <w:rFonts w:ascii="Verdana" w:hAnsi="Verdana"/>
          <w:sz w:val="22"/>
          <w:szCs w:val="22"/>
        </w:rPr>
        <w:t>demás emolumentos a los que tenga derecho como servidor público de la Contaduría General de la Nación, como respaldo a sus deberes como beneficiario del apoyo educativo.</w:t>
      </w:r>
    </w:p>
    <w:p w14:paraId="1EC602D7" w14:textId="77777777" w:rsidR="00640EEB" w:rsidRPr="005C56D0" w:rsidRDefault="00640EEB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107EA9F2" w14:textId="77777777" w:rsidR="00640EEB" w:rsidRPr="005C56D0" w:rsidRDefault="00640EEB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pagaré en blanco con carta de instrucciones que respalde la obligación del apoyo educativo, el cual se hará efectivo cuando no resulten suficientes los salarios y/o prestaciones sociales del funcionario al momento de su retiro</w:t>
      </w:r>
      <w:r w:rsidR="00C80AD1" w:rsidRPr="005C56D0">
        <w:rPr>
          <w:rFonts w:ascii="Verdana" w:hAnsi="Verdana"/>
          <w:sz w:val="22"/>
          <w:szCs w:val="22"/>
        </w:rPr>
        <w:t>.</w:t>
      </w:r>
    </w:p>
    <w:p w14:paraId="45A19055" w14:textId="069AD10A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622AF63A" w14:textId="77777777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9A0572B" w14:textId="2AF3464B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constancia firmo la presente acta de compromiso en Bogotá, D.C. a los ____________ días del mes de ______________</w:t>
      </w:r>
      <w:r w:rsidR="00337731" w:rsidRPr="005C56D0">
        <w:rPr>
          <w:rFonts w:ascii="Verdana" w:hAnsi="Verdana"/>
          <w:sz w:val="22"/>
          <w:szCs w:val="22"/>
        </w:rPr>
        <w:t>__</w:t>
      </w:r>
      <w:r w:rsidRPr="005C56D0">
        <w:rPr>
          <w:rFonts w:ascii="Verdana" w:hAnsi="Verdana"/>
          <w:sz w:val="22"/>
          <w:szCs w:val="22"/>
        </w:rPr>
        <w:t>de ________.</w:t>
      </w:r>
    </w:p>
    <w:p w14:paraId="573CD85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 </w:t>
      </w:r>
    </w:p>
    <w:p w14:paraId="5445A6D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Autorizo a la U.A.E. Contaduría General de la Nación para que adelante las acciones pertinentes en caso de incumplimiento de cualquiera de las obligaciones que hoy asumo con responsabilidad.</w:t>
      </w:r>
    </w:p>
    <w:p w14:paraId="0F1EDA15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DA105C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Atentamente, </w:t>
      </w:r>
    </w:p>
    <w:p w14:paraId="2DE1B6C0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80AF735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5FC9750" w14:textId="77777777" w:rsidR="008C70AC" w:rsidRPr="005C56D0" w:rsidRDefault="008C70AC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3D4DC28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B2E2F8F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62A903F" w14:textId="77777777" w:rsidR="008C70AC" w:rsidRPr="005C56D0" w:rsidRDefault="008C70AC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9BA7614" w14:textId="19EC9B54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________________________________</w:t>
      </w:r>
    </w:p>
    <w:p w14:paraId="6150CCC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(Nombre completo) </w:t>
      </w:r>
    </w:p>
    <w:p w14:paraId="73CC131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C.C.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7705CA7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Cargo: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015E8A33" w14:textId="3B6F4C98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Dependencia: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Xxxxxxxxxxxx</w:t>
      </w:r>
      <w:proofErr w:type="spellEnd"/>
    </w:p>
    <w:sectPr w:rsidR="00C80AD1" w:rsidRPr="005C56D0" w:rsidSect="00FC6681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0013" w14:textId="77777777" w:rsidR="00FC6681" w:rsidRDefault="00FC6681">
      <w:r>
        <w:separator/>
      </w:r>
    </w:p>
  </w:endnote>
  <w:endnote w:type="continuationSeparator" w:id="0">
    <w:p w14:paraId="2D2F922F" w14:textId="77777777" w:rsidR="00FC6681" w:rsidRDefault="00F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4AC1F8BA" w:rsidR="00F20072" w:rsidRPr="006B1CD7" w:rsidRDefault="004174E0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511FAD48" wp14:editId="259D87D3">
          <wp:simplePos x="0" y="0"/>
          <wp:positionH relativeFrom="page">
            <wp:align>right</wp:align>
          </wp:positionH>
          <wp:positionV relativeFrom="paragraph">
            <wp:posOffset>-15354</wp:posOffset>
          </wp:positionV>
          <wp:extent cx="7774108" cy="13440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8" cy="134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0A66" w14:textId="77777777" w:rsidR="00FC6681" w:rsidRDefault="00FC6681">
      <w:r>
        <w:separator/>
      </w:r>
    </w:p>
  </w:footnote>
  <w:footnote w:type="continuationSeparator" w:id="0">
    <w:p w14:paraId="2FB992EE" w14:textId="77777777" w:rsidR="00FC6681" w:rsidRDefault="00FC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527" w14:textId="2843ACAF" w:rsidR="000C1A63" w:rsidRDefault="000C1A63">
    <w:pPr>
      <w:pStyle w:val="Encabezado"/>
    </w:pPr>
  </w:p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446"/>
      <w:gridCol w:w="1784"/>
      <w:gridCol w:w="1369"/>
      <w:gridCol w:w="1217"/>
      <w:gridCol w:w="1810"/>
    </w:tblGrid>
    <w:tr w:rsidR="000C1A63" w:rsidRPr="005C56D0" w14:paraId="40D20819" w14:textId="77777777" w:rsidTr="006B391C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69279FA1" w14:textId="2D03C4A8" w:rsidR="000C1A63" w:rsidRPr="005C56D0" w:rsidRDefault="000C1A63" w:rsidP="000C1A63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09CB2B66" wp14:editId="524CA917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625266880" name="Imagen 62526688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23C3FF" w14:textId="6A1A7C9B" w:rsidR="000C1A63" w:rsidRPr="005C56D0" w:rsidRDefault="000C1A63" w:rsidP="000C1A63">
          <w:pPr>
            <w:spacing w:before="85"/>
            <w:ind w:right="1082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5C56D0">
            <w:rPr>
              <w:rFonts w:ascii="Verdana" w:hAnsi="Verdana"/>
              <w:b/>
              <w:i w:val="0"/>
              <w:iCs/>
              <w:sz w:val="22"/>
              <w:szCs w:val="22"/>
            </w:rPr>
            <w:t>CARTA DE COMPROMISO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6722E5A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61FFCAAB" wp14:editId="2D0EF0DE">
                <wp:simplePos x="0" y="0"/>
                <wp:positionH relativeFrom="page">
                  <wp:posOffset>15240</wp:posOffset>
                </wp:positionH>
                <wp:positionV relativeFrom="paragraph">
                  <wp:posOffset>578485</wp:posOffset>
                </wp:positionV>
                <wp:extent cx="1095375" cy="466725"/>
                <wp:effectExtent l="0" t="0" r="0" b="0"/>
                <wp:wrapNone/>
                <wp:docPr id="2103845440" name="Imagen 210384544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1A63" w:rsidRPr="005C56D0" w14:paraId="0ABEBF75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48D7049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198C1E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212E7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7FFF933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30EBEDBD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2C39A55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49CE0" w14:textId="77777777" w:rsidR="000C1A63" w:rsidRPr="005C56D0" w:rsidRDefault="000C1A63" w:rsidP="000C1A63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0309BB" w14:textId="148D6236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PROGRAMAS INTERNOS DE CAPACITACIÓN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489901EE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56132D5D" w14:textId="77777777" w:rsidTr="006B391C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60C432D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79F52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8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BFCBC4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F8E0F7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2DB3781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2EED0630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</w:p>
      </w:tc>
    </w:tr>
    <w:tr w:rsidR="000C1A63" w:rsidRPr="005C56D0" w14:paraId="55DC919E" w14:textId="77777777" w:rsidTr="006B391C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8C03608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E5A44D" w14:textId="66397E57" w:rsidR="000C1A63" w:rsidRPr="005C56D0" w:rsidRDefault="005C56D0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01/03/2024</w:t>
          </w:r>
        </w:p>
      </w:tc>
      <w:tc>
        <w:tcPr>
          <w:tcW w:w="839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DCFE2E" w14:textId="3CE17164" w:rsidR="000C1A63" w:rsidRPr="005C56D0" w:rsidRDefault="000C1A63" w:rsidP="000C1A63">
          <w:pPr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GTH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100D3D" w14:textId="0EFD5FC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BD8D7E5" w14:textId="77777777" w:rsidR="000C1A63" w:rsidRPr="005C56D0" w:rsidRDefault="000C1A63" w:rsidP="000C1A63">
          <w:pPr>
            <w:suppressAutoHyphens w:val="0"/>
            <w:jc w:val="center"/>
            <w:rPr>
              <w:rFonts w:ascii="Verdana" w:hAnsi="Verdana"/>
              <w:i w:val="0"/>
              <w:iCs/>
              <w:sz w:val="22"/>
              <w:szCs w:val="22"/>
              <w:lang w:val="es-ES"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68DF340C" w14:textId="77777777" w:rsidR="000C1A63" w:rsidRPr="005C56D0" w:rsidRDefault="000C1A63" w:rsidP="000C1A63">
          <w:pPr>
            <w:rPr>
              <w:rFonts w:ascii="Verdana" w:hAnsi="Verdana"/>
              <w:i w:val="0"/>
              <w:iCs/>
              <w:lang w:eastAsia="es-CO"/>
            </w:rPr>
          </w:pPr>
        </w:p>
      </w:tc>
    </w:tr>
  </w:tbl>
  <w:p w14:paraId="09622FC4" w14:textId="1EEBAE18" w:rsidR="009504F2" w:rsidRPr="005C56D0" w:rsidRDefault="009504F2" w:rsidP="005C56D0">
    <w:pPr>
      <w:tabs>
        <w:tab w:val="left" w:pos="1650"/>
      </w:tabs>
      <w:snapToGrid w:val="0"/>
      <w:rPr>
        <w:rFonts w:ascii="Code3of9" w:hAnsi="Code3of9"/>
        <w:i w:val="0"/>
        <w:iCs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42EFF"/>
    <w:multiLevelType w:val="hybridMultilevel"/>
    <w:tmpl w:val="2F880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0F24"/>
    <w:multiLevelType w:val="hybridMultilevel"/>
    <w:tmpl w:val="25EAC414"/>
    <w:lvl w:ilvl="0" w:tplc="F59AC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20A96"/>
    <w:multiLevelType w:val="hybridMultilevel"/>
    <w:tmpl w:val="9856B640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09979">
    <w:abstractNumId w:val="0"/>
  </w:num>
  <w:num w:numId="2" w16cid:durableId="1242251630">
    <w:abstractNumId w:val="3"/>
  </w:num>
  <w:num w:numId="3" w16cid:durableId="735471370">
    <w:abstractNumId w:val="1"/>
  </w:num>
  <w:num w:numId="4" w16cid:durableId="1978414323">
    <w:abstractNumId w:val="2"/>
  </w:num>
  <w:num w:numId="5" w16cid:durableId="381490890">
    <w:abstractNumId w:val="5"/>
  </w:num>
  <w:num w:numId="6" w16cid:durableId="150269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4E3E"/>
    <w:rsid w:val="00010708"/>
    <w:rsid w:val="0001241E"/>
    <w:rsid w:val="00014AF0"/>
    <w:rsid w:val="00055E0D"/>
    <w:rsid w:val="000816D2"/>
    <w:rsid w:val="000A51AC"/>
    <w:rsid w:val="000A74FF"/>
    <w:rsid w:val="000B2594"/>
    <w:rsid w:val="000B2AA6"/>
    <w:rsid w:val="000B3E4F"/>
    <w:rsid w:val="000B418D"/>
    <w:rsid w:val="000C1A63"/>
    <w:rsid w:val="000D0CD1"/>
    <w:rsid w:val="000F1207"/>
    <w:rsid w:val="000F45CC"/>
    <w:rsid w:val="000F7171"/>
    <w:rsid w:val="000F77C2"/>
    <w:rsid w:val="00174D63"/>
    <w:rsid w:val="00193BCE"/>
    <w:rsid w:val="001A019E"/>
    <w:rsid w:val="001C5801"/>
    <w:rsid w:val="001C7FC9"/>
    <w:rsid w:val="001D453F"/>
    <w:rsid w:val="001E0168"/>
    <w:rsid w:val="00206997"/>
    <w:rsid w:val="002217D8"/>
    <w:rsid w:val="00224D7F"/>
    <w:rsid w:val="002355B9"/>
    <w:rsid w:val="00236FF2"/>
    <w:rsid w:val="00247AA3"/>
    <w:rsid w:val="00266A03"/>
    <w:rsid w:val="00273C37"/>
    <w:rsid w:val="00273EC0"/>
    <w:rsid w:val="0028370E"/>
    <w:rsid w:val="002A772E"/>
    <w:rsid w:val="002B1A13"/>
    <w:rsid w:val="002B31A3"/>
    <w:rsid w:val="002C1F96"/>
    <w:rsid w:val="002D2DCD"/>
    <w:rsid w:val="002D31A4"/>
    <w:rsid w:val="002E3865"/>
    <w:rsid w:val="002E4975"/>
    <w:rsid w:val="002F4D8E"/>
    <w:rsid w:val="00306E4A"/>
    <w:rsid w:val="00306F8C"/>
    <w:rsid w:val="00321D8C"/>
    <w:rsid w:val="00337731"/>
    <w:rsid w:val="00347FE8"/>
    <w:rsid w:val="003678CD"/>
    <w:rsid w:val="00371D90"/>
    <w:rsid w:val="00393C27"/>
    <w:rsid w:val="003A4DC4"/>
    <w:rsid w:val="003B36F7"/>
    <w:rsid w:val="003B3D38"/>
    <w:rsid w:val="003D25F0"/>
    <w:rsid w:val="003E20B6"/>
    <w:rsid w:val="003E3C71"/>
    <w:rsid w:val="00400B75"/>
    <w:rsid w:val="004040D1"/>
    <w:rsid w:val="004174E0"/>
    <w:rsid w:val="004304BB"/>
    <w:rsid w:val="00434546"/>
    <w:rsid w:val="004679E8"/>
    <w:rsid w:val="00475F1E"/>
    <w:rsid w:val="0047744F"/>
    <w:rsid w:val="004A376E"/>
    <w:rsid w:val="004D7E2A"/>
    <w:rsid w:val="004E257D"/>
    <w:rsid w:val="004F1199"/>
    <w:rsid w:val="0050639F"/>
    <w:rsid w:val="005134D3"/>
    <w:rsid w:val="0052675B"/>
    <w:rsid w:val="00595FCE"/>
    <w:rsid w:val="0059774D"/>
    <w:rsid w:val="005B3415"/>
    <w:rsid w:val="005C56D0"/>
    <w:rsid w:val="005E4C9D"/>
    <w:rsid w:val="005F3AA4"/>
    <w:rsid w:val="006022A1"/>
    <w:rsid w:val="00640EEB"/>
    <w:rsid w:val="00645E0D"/>
    <w:rsid w:val="00655EBA"/>
    <w:rsid w:val="00667B55"/>
    <w:rsid w:val="0067255A"/>
    <w:rsid w:val="0068177D"/>
    <w:rsid w:val="00684C58"/>
    <w:rsid w:val="0068600D"/>
    <w:rsid w:val="00687B40"/>
    <w:rsid w:val="0069304E"/>
    <w:rsid w:val="006B10CC"/>
    <w:rsid w:val="006B1CD7"/>
    <w:rsid w:val="006F058C"/>
    <w:rsid w:val="006F4A61"/>
    <w:rsid w:val="00700806"/>
    <w:rsid w:val="00707ED7"/>
    <w:rsid w:val="00712D1F"/>
    <w:rsid w:val="0071448B"/>
    <w:rsid w:val="00715D2C"/>
    <w:rsid w:val="00747949"/>
    <w:rsid w:val="00766D28"/>
    <w:rsid w:val="007817F4"/>
    <w:rsid w:val="00793747"/>
    <w:rsid w:val="007F5E46"/>
    <w:rsid w:val="00800F75"/>
    <w:rsid w:val="008104DD"/>
    <w:rsid w:val="008204CA"/>
    <w:rsid w:val="00820B59"/>
    <w:rsid w:val="00824EE2"/>
    <w:rsid w:val="00826EBD"/>
    <w:rsid w:val="00850CC0"/>
    <w:rsid w:val="00860DF9"/>
    <w:rsid w:val="008824FB"/>
    <w:rsid w:val="00885E6F"/>
    <w:rsid w:val="00886F89"/>
    <w:rsid w:val="008A055C"/>
    <w:rsid w:val="008A4D66"/>
    <w:rsid w:val="008B0F02"/>
    <w:rsid w:val="008B55FA"/>
    <w:rsid w:val="008B5BCF"/>
    <w:rsid w:val="008C166B"/>
    <w:rsid w:val="008C70AC"/>
    <w:rsid w:val="008D4970"/>
    <w:rsid w:val="008F65F8"/>
    <w:rsid w:val="00930CE7"/>
    <w:rsid w:val="009504F2"/>
    <w:rsid w:val="00985B34"/>
    <w:rsid w:val="009958E9"/>
    <w:rsid w:val="00997380"/>
    <w:rsid w:val="009C2502"/>
    <w:rsid w:val="009E59B9"/>
    <w:rsid w:val="00A001C4"/>
    <w:rsid w:val="00A02ABF"/>
    <w:rsid w:val="00A03061"/>
    <w:rsid w:val="00A03F5D"/>
    <w:rsid w:val="00A04668"/>
    <w:rsid w:val="00A70787"/>
    <w:rsid w:val="00A72C97"/>
    <w:rsid w:val="00AB08AA"/>
    <w:rsid w:val="00AB1B61"/>
    <w:rsid w:val="00AB1B81"/>
    <w:rsid w:val="00AB3743"/>
    <w:rsid w:val="00AC13A6"/>
    <w:rsid w:val="00AD4297"/>
    <w:rsid w:val="00AD7A74"/>
    <w:rsid w:val="00AE65EB"/>
    <w:rsid w:val="00B07FC4"/>
    <w:rsid w:val="00B41A8F"/>
    <w:rsid w:val="00B9148A"/>
    <w:rsid w:val="00B97B80"/>
    <w:rsid w:val="00BB2FED"/>
    <w:rsid w:val="00BB39DA"/>
    <w:rsid w:val="00BC0FA1"/>
    <w:rsid w:val="00BC4F26"/>
    <w:rsid w:val="00BC5D39"/>
    <w:rsid w:val="00BF10CB"/>
    <w:rsid w:val="00C02BD0"/>
    <w:rsid w:val="00C15E6D"/>
    <w:rsid w:val="00C1696D"/>
    <w:rsid w:val="00C41A3C"/>
    <w:rsid w:val="00C43BF4"/>
    <w:rsid w:val="00C534E0"/>
    <w:rsid w:val="00C56F8C"/>
    <w:rsid w:val="00C80AD1"/>
    <w:rsid w:val="00C85787"/>
    <w:rsid w:val="00C93D97"/>
    <w:rsid w:val="00CB4D06"/>
    <w:rsid w:val="00CC4462"/>
    <w:rsid w:val="00CD0C35"/>
    <w:rsid w:val="00CF3787"/>
    <w:rsid w:val="00D03D34"/>
    <w:rsid w:val="00D2411B"/>
    <w:rsid w:val="00D31840"/>
    <w:rsid w:val="00D35733"/>
    <w:rsid w:val="00D42563"/>
    <w:rsid w:val="00DC444A"/>
    <w:rsid w:val="00DD4FEB"/>
    <w:rsid w:val="00DE6C14"/>
    <w:rsid w:val="00E03DE5"/>
    <w:rsid w:val="00E24B0E"/>
    <w:rsid w:val="00E33945"/>
    <w:rsid w:val="00E47A00"/>
    <w:rsid w:val="00E62885"/>
    <w:rsid w:val="00E71768"/>
    <w:rsid w:val="00E722D5"/>
    <w:rsid w:val="00E82EDC"/>
    <w:rsid w:val="00EA4271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2B5"/>
    <w:rsid w:val="00F33E51"/>
    <w:rsid w:val="00F67CA1"/>
    <w:rsid w:val="00F766E0"/>
    <w:rsid w:val="00F8286A"/>
    <w:rsid w:val="00F97F76"/>
    <w:rsid w:val="00FA2C57"/>
    <w:rsid w:val="00FB4F1D"/>
    <w:rsid w:val="00FC3B48"/>
    <w:rsid w:val="00FC6681"/>
    <w:rsid w:val="00FE3F95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paragraph" w:styleId="Prrafodelista">
    <w:name w:val="List Paragraph"/>
    <w:basedOn w:val="Normal"/>
    <w:uiPriority w:val="34"/>
    <w:qFormat/>
    <w:rsid w:val="00266A0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Sinespaciado">
    <w:name w:val="No Spacing"/>
    <w:uiPriority w:val="1"/>
    <w:qFormat/>
    <w:rsid w:val="00266A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notapie">
    <w:name w:val="footnote text"/>
    <w:basedOn w:val="Normal"/>
    <w:link w:val="TextonotapieCar"/>
    <w:semiHidden/>
    <w:unhideWhenUsed/>
    <w:rsid w:val="002D31A4"/>
  </w:style>
  <w:style w:type="character" w:customStyle="1" w:styleId="TextonotapieCar">
    <w:name w:val="Texto nota pie Car"/>
    <w:basedOn w:val="Fuentedeprrafopredeter"/>
    <w:link w:val="Textonotapie"/>
    <w:semiHidden/>
    <w:rsid w:val="002D31A4"/>
    <w:rPr>
      <w:rFonts w:ascii="Bookman Old Style" w:hAnsi="Bookman Old Style"/>
      <w:i/>
      <w:lang w:eastAsia="ar-SA"/>
    </w:rPr>
  </w:style>
  <w:style w:type="character" w:styleId="Refdenotaalpie">
    <w:name w:val="footnote reference"/>
    <w:basedOn w:val="Fuentedeprrafopredeter"/>
    <w:semiHidden/>
    <w:unhideWhenUsed/>
    <w:rsid w:val="002D31A4"/>
    <w:rPr>
      <w:vertAlign w:val="superscript"/>
    </w:rPr>
  </w:style>
  <w:style w:type="paragraph" w:customStyle="1" w:styleId="Default">
    <w:name w:val="Default"/>
    <w:rsid w:val="00C80A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1A63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dayana guerrero</cp:lastModifiedBy>
  <cp:revision>2</cp:revision>
  <cp:lastPrinted>2024-02-29T16:17:00Z</cp:lastPrinted>
  <dcterms:created xsi:type="dcterms:W3CDTF">2024-03-01T14:17:00Z</dcterms:created>
  <dcterms:modified xsi:type="dcterms:W3CDTF">2024-03-01T14:17:00Z</dcterms:modified>
</cp:coreProperties>
</file>